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XII/96/2025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przekazania skargi według właściwości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1i art 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Kodeks postępowania administracyjnego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572),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Postanawia się przekazać skargę na Przewodniczącego Rady Gminy Gręboszów, Wojewodzie Małopolskiemu jako organowi właściwemu do jej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Przewodniczącemu Rady Gminy Gręboszów, zobowiązując go do zawiadomienia Skarżących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przekazaniu skargi organowi właściwemu do jej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Przewodniczący Rady Gminy Gręboszów</w:t>
            </w:r>
          </w:p>
          <w:p/>
          <w:p>
            <w:pPr>
              <w:jc w:val="center"/>
            </w:pPr>
            <w:r>
              <w:rPr>
                <w:b/>
              </w:rPr>
              <w:t>Wiesław Wytrwał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Do Rady Gminy Gręboszów wpłynęła skarga na sposób potraktowania mieszkańców podczas ostatniej sesji Rady Gminy, w szczególności przez Przewodniczącego Rady.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 uwagi na okoliczność, iż skarga dotyczy wykonywania zadań Przewodniczącego podejmowanych w trakcie sesji Rady Gminy Gręboszów, należy ją kwalifikować jako skargę na samą radę.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art. 299 pkt 1 ustawy z dnia 14 czerwca 1960 r. Kodeks postępowania administracyjnego (Dz. U. z 2024 r. poz. 572), organem właściwym do rozpatrywania skarg na działalności rady gminy jest wojewoda.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myśl art 231 ww. ustawy jeśli organ, który otrzymał skargę nie jest właściwy do jej rozpatrzenia, obowiązany jest niezwłocznie, przekazać ją właściwemu organowi, zawiadamiając równocześnie o tym skarżącego, albo wskazać mu właściwy organ.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związku z powyższym Rada Gminy Gręboszów podejmuje decyzję o przekazanie jej do organu właściwego</w:t>
      </w:r>
      <w:r>
        <w:rPr>
          <w:szCs w:val="20"/>
        </w:rPr>
        <w:t>,</w:t>
      </w:r>
      <w:r>
        <w:rPr>
          <w:szCs w:val="20"/>
        </w:rPr>
        <w:t xml:space="preserve"> tj. Wojewody Małopolskiego jako organowi właściwemu do jej rozpatrzenia.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94D42E1C-3715-42A3-A631-3D8F94BCFD7D.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94D42E1C-3715-42A3-A631-3D8F94BCFD7D.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XII/96/2025 z dnia 24 czerwca 2025 r.</dc:title>
  <dc:subject>w sprawie przekazania skargi według właściwości</dc:subject>
  <dc:creator>marcin.janowiec</dc:creator>
  <cp:lastModifiedBy>marcin.janowiec</cp:lastModifiedBy>
  <cp:revision>1</cp:revision>
  <dcterms:created xsi:type="dcterms:W3CDTF">2025-06-18T13:16:02Z</dcterms:created>
  <dcterms:modified xsi:type="dcterms:W3CDTF">2025-06-18T13:16:02Z</dcterms:modified>
  <cp:category>Akt prawny</cp:category>
</cp:coreProperties>
</file>