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10 września 2025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XV/116/2025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Gminy Gręboszów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11 września 2025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zmiany Wieloletniej Prognozy Finansowej Gminy Gręboszów na lata 2025-2031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sierpnia 2009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finansach publicznych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1530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 zm.</w:t>
      </w:r>
      <w:r>
        <w:rPr>
          <w:rStyle w:val="FootnoteReference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0"/>
          <w:u w:val="none" w:color="000000"/>
          <w:vertAlign w:val="superscript"/>
        </w:rPr>
        <w:footnoteReference w:customMarkFollows="1" w:id="2"/>
        <w:t xml:space="preserve">1)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 uchwala się,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uchwale Nr VIII/63/2024 Rady Gminy Gręboszów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uchwalenia Wieloletniej Prognozy Finansowej Gminy Gręboszów na lata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- 2031, dokonuje się następujących zmian: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uchwały, dotyczący prognozy kwoty długu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spłaty zobowiązań na lata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– 2031, otrzymuje brzmienie jak 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uchwały, dotyczący wykazu planowanych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realizowanych wieloletnich przedsięwzięć, otrzymuje brzmienie jak 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Uzasadnienie zmian wynikających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niniejszej uchwały zawiera 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Pozostała treść uchwały Nr VIII/63/2024 Rady Gminy Gręboszów, pozostaje bez zmian.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Wójtowi Gminy Gręboszów.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5041"/>
        <w:gridCol w:w="5041"/>
      </w:tblGrid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Przewodniczący Rady Gminy Gręboszów</w:t>
            </w:r>
          </w:p>
          <w:p/>
          <w:p>
            <w:pPr>
              <w:jc w:val="center"/>
            </w:pPr>
            <w:r>
              <w:rPr>
                <w:b/>
                <w:sz w:val="20"/>
              </w:rPr>
              <w:t>Wiesław Wytrwał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17122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XV/116/2025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Gminy Gręboszów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września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Wieloletnia Prognoza Finansowa</w:t>
      </w:r>
      <w:r>
        <w:rPr>
          <w:rStyle w:val="FootnoteReference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0"/>
          <w:u w:val="none" w:color="000000"/>
          <w:vertAlign w:val="superscript"/>
        </w:rPr>
        <w:footnoteReference w:customMarkFollows="1" w:id="3"/>
        <w:t xml:space="preserve">1)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1464"/>
        <w:gridCol w:w="384"/>
        <w:gridCol w:w="360"/>
        <w:gridCol w:w="360"/>
        <w:gridCol w:w="4838"/>
        <w:gridCol w:w="24"/>
        <w:gridCol w:w="1464"/>
        <w:gridCol w:w="1464"/>
        <w:gridCol w:w="1464"/>
        <w:gridCol w:w="1452"/>
        <w:gridCol w:w="1452"/>
        <w:gridCol w:w="1452"/>
        <w:gridCol w:w="1452"/>
        <w:gridCol w:w="1452"/>
        <w:gridCol w:w="1452"/>
        <w:gridCol w:w="1453"/>
      </w:tblGrid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71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Wyszczególnienie</w:t>
            </w:r>
          </w:p>
        </w:tc>
        <w:tc>
          <w:tcPr>
            <w:tcW w:w="15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Wykonanie 2018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Wykonanie 2019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Wykonanie 2020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Wykonanie 2021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Wykonanie 2022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Wykonanie 2023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Plan 3 kw. 2024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Wykonanie 2024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2025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2026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71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1. Dochody ogółem</w:t>
            </w:r>
            <w:r>
              <w:rPr>
                <w:b/>
                <w:sz w:val="14"/>
                <w:vertAlign w:val="superscript"/>
              </w:rPr>
              <w:t>X</w:t>
            </w:r>
          </w:p>
        </w:tc>
        <w:tc>
          <w:tcPr>
            <w:tcW w:w="15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11 980 391,31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18 358 285,17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17 589 024,02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19 318 398,47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20 737 979,48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35 255 719,60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29 518 559,98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37 562 922,59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32 919 089,00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1.1</w:t>
            </w:r>
          </w:p>
        </w:tc>
        <w:tc>
          <w:tcPr>
            <w:tcW w:w="61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Dochody bieżące</w:t>
            </w:r>
            <w:r>
              <w:rPr>
                <w:sz w:val="14"/>
                <w:vertAlign w:val="superscript"/>
              </w:rPr>
              <w:t>X</w:t>
            </w:r>
            <w:r>
              <w:rPr>
                <w:sz w:val="14"/>
              </w:rPr>
              <w:t>, z tego:</w:t>
            </w:r>
          </w:p>
        </w:tc>
        <w:tc>
          <w:tcPr>
            <w:tcW w:w="15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11 624 804,72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12 492 111,37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13 789 278,34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18 639 744,01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16 711 393,66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17 556 787,07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16 565 609,73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21 406 230,17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22 801 410,00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1.1.1</w:t>
            </w:r>
          </w:p>
        </w:tc>
        <w:tc>
          <w:tcPr>
            <w:tcW w:w="40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dochody z tytułu udziału we wpływach z podatku dochodowego od osób fizycznych</w:t>
            </w:r>
          </w:p>
        </w:tc>
        <w:tc>
          <w:tcPr>
            <w:tcW w:w="15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1 604 458,00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1 375 838,00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1 464 045,00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4 357 548,57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1 474 872,00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1 771 547,00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1 972 624,00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5 329 543,08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6 112 986,00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1.1.2</w:t>
            </w:r>
          </w:p>
        </w:tc>
        <w:tc>
          <w:tcPr>
            <w:tcW w:w="40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dochody z tytułu udziału we wpływach z podatku dochodowego od osób prawnych</w:t>
            </w:r>
          </w:p>
        </w:tc>
        <w:tc>
          <w:tcPr>
            <w:tcW w:w="15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14 863,07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13 951,76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14 895,66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19 234,07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25 283,00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27 699,00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27 699,00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48 840,46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56 020,00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1.1.3</w:t>
            </w:r>
          </w:p>
        </w:tc>
        <w:tc>
          <w:tcPr>
            <w:tcW w:w="40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 subwencji ogólnej</w:t>
            </w:r>
          </w:p>
        </w:tc>
        <w:tc>
          <w:tcPr>
            <w:tcW w:w="15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4 433 247,00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4 754 141,00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5 301 378,00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4 915 370,00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7 348 295,95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6 559 285,00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7 358 208,00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4 681 403,45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5 326 205,00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1.1.4</w:t>
            </w:r>
          </w:p>
        </w:tc>
        <w:tc>
          <w:tcPr>
            <w:tcW w:w="40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z 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środków przeznaczonych na cele bieżące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superscript"/>
              </w:rPr>
              <w:t>X</w:t>
            </w:r>
            <w:r>
              <w:rPr>
                <w:rStyle w:val="FootnoteReference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superscript"/>
              </w:rPr>
              <w:footnoteReference w:customMarkFollows="1" w:id="4"/>
              <w:t xml:space="preserve">2)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</w:p>
        </w:tc>
        <w:tc>
          <w:tcPr>
            <w:tcW w:w="15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4 062 464,11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4 215 508,49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4 576 742,04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5 499 858,30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3 140 141,66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2 580 956,44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3 140 205,01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2 331 704,10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1 714 694,00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1.1.5</w:t>
            </w:r>
          </w:p>
        </w:tc>
        <w:tc>
          <w:tcPr>
            <w:tcW w:w="40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pozostałe dochody bieżące</w:t>
            </w:r>
            <w:r>
              <w:rPr>
                <w:rStyle w:val="FootnoteReference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superscript"/>
              </w:rPr>
              <w:footnoteReference w:customMarkFollows="1" w:id="5"/>
              <w:t xml:space="preserve">3)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,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tym:</w:t>
            </w:r>
          </w:p>
        </w:tc>
        <w:tc>
          <w:tcPr>
            <w:tcW w:w="15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1 509 772,54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2 132 672,12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2 432 217,64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3 847 733,07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4 722 801,05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6 617 299,63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4 066 873,72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9 014 739,08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9 591 505,00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1.1.5.1</w:t>
            </w:r>
          </w:p>
        </w:tc>
        <w:tc>
          <w:tcPr>
            <w:tcW w:w="40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7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1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 podatku od nieruchomości</w:t>
            </w:r>
          </w:p>
        </w:tc>
        <w:tc>
          <w:tcPr>
            <w:tcW w:w="15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377 872,70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519 238,18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597 663,76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1 538 415,83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1 578 418,45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1 810 000,00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1 596 807,87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2 960 000,00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3 105 140,00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1.2</w:t>
            </w:r>
          </w:p>
        </w:tc>
        <w:tc>
          <w:tcPr>
            <w:tcW w:w="61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Dochody majątkowe</w:t>
            </w:r>
            <w:r>
              <w:rPr>
                <w:sz w:val="14"/>
                <w:vertAlign w:val="superscript"/>
              </w:rPr>
              <w:t>X</w:t>
            </w:r>
            <w:r>
              <w:rPr>
                <w:sz w:val="14"/>
              </w:rPr>
              <w:t>, w tym:</w:t>
            </w:r>
          </w:p>
        </w:tc>
        <w:tc>
          <w:tcPr>
            <w:tcW w:w="15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355 586,59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5 866 173,80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3 799 745,68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678 654,46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4 026 585,82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17 698 932,53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12 952 950,25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16 156 692,42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10 117 679,00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1.2.1</w:t>
            </w:r>
          </w:p>
        </w:tc>
        <w:tc>
          <w:tcPr>
            <w:tcW w:w="40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ze sprzedaży majątku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15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10 462,96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94 975,93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66 624,46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15 753,82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631 724,00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74 300,00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1 067 260,00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117 679,00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1.2.2</w:t>
            </w:r>
          </w:p>
        </w:tc>
        <w:tc>
          <w:tcPr>
            <w:tcW w:w="40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 tytułu dotacji oraz środków przeznaczonych na inwestycje</w:t>
            </w:r>
          </w:p>
        </w:tc>
        <w:tc>
          <w:tcPr>
            <w:tcW w:w="15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355 586,59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5 855 710,84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3 704 769,75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612 030,00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4 010 832,00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17 067 208,53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12 878 650,25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15 089 432,42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10 000 000,00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71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2. Wydatki ogółem</w:t>
            </w:r>
            <w:r>
              <w:rPr>
                <w:b/>
                <w:sz w:val="14"/>
                <w:vertAlign w:val="superscript"/>
              </w:rPr>
              <w:t>X</w:t>
            </w:r>
          </w:p>
        </w:tc>
        <w:tc>
          <w:tcPr>
            <w:tcW w:w="15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11 615 565,13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15 690 075,78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15 759 738,52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18 682 096,94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26 870 299,99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40 057 719,40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34 000 140,74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37 483 341,62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31 919 089,00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2.1</w:t>
            </w:r>
          </w:p>
        </w:tc>
        <w:tc>
          <w:tcPr>
            <w:tcW w:w="61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bieżące</w:t>
            </w:r>
            <w:r>
              <w:rPr>
                <w:sz w:val="14"/>
                <w:vertAlign w:val="superscript"/>
              </w:rPr>
              <w:t>X</w:t>
            </w:r>
            <w:r>
              <w:rPr>
                <w:sz w:val="14"/>
              </w:rPr>
              <w:t>, w tym:</w:t>
            </w:r>
          </w:p>
        </w:tc>
        <w:tc>
          <w:tcPr>
            <w:tcW w:w="15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11 228 642,71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11 845 185,33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13 324 492,44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17 144 187,75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16 187 562,07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17 847 450,30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17 797 237,95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20 062 090,07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18 852 004,00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2.1.1</w:t>
            </w:r>
          </w:p>
        </w:tc>
        <w:tc>
          <w:tcPr>
            <w:tcW w:w="40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na wynagrodzenia i składki od nich naliczane</w:t>
            </w:r>
          </w:p>
        </w:tc>
        <w:tc>
          <w:tcPr>
            <w:tcW w:w="15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4 518 204,35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4 666 945,13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5 214 421,61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5 911 192,69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6 858 904,84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8 598 036,47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8 306 351,65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9 828 326,81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10 321 702,00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2.1.2</w:t>
            </w:r>
          </w:p>
        </w:tc>
        <w:tc>
          <w:tcPr>
            <w:tcW w:w="40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 tytułu poręczeń i gwarancji</w:t>
            </w:r>
            <w:r>
              <w:rPr>
                <w:sz w:val="14"/>
                <w:vertAlign w:val="superscript"/>
              </w:rPr>
              <w:t>X</w:t>
            </w:r>
            <w:r>
              <w:rPr>
                <w:sz w:val="14"/>
              </w:rPr>
              <w:t>, w tym:</w:t>
            </w:r>
          </w:p>
        </w:tc>
        <w:tc>
          <w:tcPr>
            <w:tcW w:w="15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2.1.2.1</w:t>
            </w:r>
          </w:p>
        </w:tc>
        <w:tc>
          <w:tcPr>
            <w:tcW w:w="40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7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1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gwarancje i poręczenia podlegające wyłączeniu z limitu spłaty zobowiązań, o którym mowa w art. 243 ustawy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15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2.1.3</w:t>
            </w:r>
          </w:p>
        </w:tc>
        <w:tc>
          <w:tcPr>
            <w:tcW w:w="40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na obsługę długu</w:t>
            </w:r>
            <w:r>
              <w:rPr>
                <w:sz w:val="14"/>
                <w:vertAlign w:val="superscript"/>
              </w:rPr>
              <w:t>X</w:t>
            </w:r>
            <w:r>
              <w:rPr>
                <w:sz w:val="14"/>
              </w:rPr>
              <w:t>, w tym:</w:t>
            </w:r>
          </w:p>
        </w:tc>
        <w:tc>
          <w:tcPr>
            <w:tcW w:w="15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28 527,47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26 851,36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39 867,67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72 890,87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32 167,10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311 000,00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432 036,19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472 100,00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253 000,00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2.1.3.1</w:t>
            </w:r>
          </w:p>
        </w:tc>
        <w:tc>
          <w:tcPr>
            <w:tcW w:w="40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7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1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odsetki i dyskonto podlegające wyłączeniu z limitu spłaty zobowiązań, o którym mowa w art. 243 ustawy, w terminie nie dłuższym niż 90 dni po zakończeniu programu, projektu lub zadania i otrzymaniu refundacji z tych środków (bez odsetek i dyskonta od zobowiązań na wkład krajowy)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15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2.1.3.2</w:t>
            </w:r>
          </w:p>
        </w:tc>
        <w:tc>
          <w:tcPr>
            <w:tcW w:w="40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7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1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odsetki i dyskonto podlegające wyłączeniu z limitu spłaty zobowiązań, o którym mowa w art. 243 ustawy, z tytułu zobowiązań zaciągniętych na wkład krajowy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15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2.1.3.3</w:t>
            </w:r>
          </w:p>
        </w:tc>
        <w:tc>
          <w:tcPr>
            <w:tcW w:w="40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7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1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pozostałe odsetki i dyskonto podlegające wyłączeniu z limitu spłaty zobowiązań, o którym mowa w art. 243 ustawy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15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2.2</w:t>
            </w:r>
          </w:p>
        </w:tc>
        <w:tc>
          <w:tcPr>
            <w:tcW w:w="61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majątkowe</w:t>
            </w:r>
            <w:r>
              <w:rPr>
                <w:sz w:val="14"/>
                <w:vertAlign w:val="superscript"/>
              </w:rPr>
              <w:t>X</w:t>
            </w:r>
            <w:r>
              <w:rPr>
                <w:sz w:val="14"/>
              </w:rPr>
              <w:t>, w tym:</w:t>
            </w:r>
          </w:p>
        </w:tc>
        <w:tc>
          <w:tcPr>
            <w:tcW w:w="15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386 922,42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3 844 890,45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2 435 246,08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1 537 909,19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10 682 737,92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22 210 269,10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16 202 902,79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17 421 251,55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13 067 085,00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2.2.1</w:t>
            </w:r>
          </w:p>
        </w:tc>
        <w:tc>
          <w:tcPr>
            <w:tcW w:w="40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Inwestycje i zakupy inwestycyjne, o których mowa w art. 236 ust. 4 pkt 1 ustawy, w tym:</w:t>
            </w:r>
          </w:p>
        </w:tc>
        <w:tc>
          <w:tcPr>
            <w:tcW w:w="15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386 922,42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3 844 890,45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2 435 246,08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1 537 909,19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7 682 737,92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22 210 269,10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16 202 902,79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17 421 251,55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13 067 085,00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2.2.1.1</w:t>
            </w:r>
          </w:p>
        </w:tc>
        <w:tc>
          <w:tcPr>
            <w:tcW w:w="40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7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1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o charakterze dotacyjnym na inwestycje i zakupy inwestycyjne</w:t>
            </w:r>
          </w:p>
        </w:tc>
        <w:tc>
          <w:tcPr>
            <w:tcW w:w="15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40 802,79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185 425,62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524 016,36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4 546,60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102 006,30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417 730,35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1 017 882,35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1 846 600,00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71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3. Wynik budżetu</w:t>
            </w:r>
            <w:r>
              <w:rPr>
                <w:b/>
                <w:sz w:val="14"/>
                <w:vertAlign w:val="superscript"/>
              </w:rPr>
              <w:t>X</w:t>
            </w:r>
          </w:p>
        </w:tc>
        <w:tc>
          <w:tcPr>
            <w:tcW w:w="15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364 826,18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2 668 209,39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1 829 285,50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636 301,53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-6 132 320,51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-4 801 999,80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-4 481 580,76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79 580,97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1 000 000,00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3.1</w:t>
            </w:r>
          </w:p>
        </w:tc>
        <w:tc>
          <w:tcPr>
            <w:tcW w:w="61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Kwota prognozowanej nadwyżki budżetu przeznaczana na spłatę kredytów, pożyczek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wykup papierów wartościowych</w:t>
            </w:r>
            <w:r>
              <w:rPr>
                <w:rStyle w:val="FootnoteReference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superscript"/>
              </w:rPr>
              <w:footnoteReference w:customMarkFollows="1" w:id="6"/>
              <w:t xml:space="preserve">4)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</w:p>
        </w:tc>
        <w:tc>
          <w:tcPr>
            <w:tcW w:w="15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364 826,18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450 000,00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182 200,00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636 301,53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79 580,97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1 000 000,00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71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4. Przychody budżetu</w:t>
            </w:r>
            <w:r>
              <w:rPr>
                <w:b/>
                <w:sz w:val="14"/>
                <w:vertAlign w:val="superscript"/>
              </w:rPr>
              <w:t>X</w:t>
            </w:r>
          </w:p>
        </w:tc>
        <w:tc>
          <w:tcPr>
            <w:tcW w:w="15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378 458,71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932 424,89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3 550 634,28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5 160 219,78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9 934 320,31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5 498 529,80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5 498 529,80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6 320 419,03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4.1</w:t>
            </w:r>
          </w:p>
        </w:tc>
        <w:tc>
          <w:tcPr>
            <w:tcW w:w="61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Kredyty, pożyczki, emisja papierów wartościowych</w:t>
            </w:r>
            <w:r>
              <w:rPr>
                <w:sz w:val="14"/>
                <w:vertAlign w:val="superscript"/>
              </w:rPr>
              <w:t>X</w:t>
            </w:r>
            <w:r>
              <w:rPr>
                <w:sz w:val="14"/>
              </w:rPr>
              <w:t>, w tym:</w:t>
            </w:r>
          </w:p>
        </w:tc>
        <w:tc>
          <w:tcPr>
            <w:tcW w:w="15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300 000,00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744 401,00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400 000,00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5 000 000,00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2 000 000,00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2 000 000,00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6 000 000,00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4.1.1</w:t>
            </w:r>
          </w:p>
        </w:tc>
        <w:tc>
          <w:tcPr>
            <w:tcW w:w="40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na pokrycie deficytu budżetu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15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300 000,00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744 401,00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1 198 000,20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2 000 000,00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2 000 000,00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4.2</w:t>
            </w:r>
          </w:p>
        </w:tc>
        <w:tc>
          <w:tcPr>
            <w:tcW w:w="61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Nadwyżka budżetowa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lat ubiegłych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superscript"/>
              </w:rPr>
              <w:t>X</w:t>
            </w:r>
            <w:r>
              <w:rPr>
                <w:rStyle w:val="FootnoteReference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superscript"/>
              </w:rPr>
              <w:footnoteReference w:customMarkFollows="1" w:id="7"/>
              <w:t xml:space="preserve">5)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,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tym:</w:t>
            </w:r>
          </w:p>
        </w:tc>
        <w:tc>
          <w:tcPr>
            <w:tcW w:w="15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477,16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3 062 721,95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3 296 025,93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4 534 320,31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476 390,93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476 390,93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236 774,07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4.2.1</w:t>
            </w:r>
          </w:p>
        </w:tc>
        <w:tc>
          <w:tcPr>
            <w:tcW w:w="40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na pokrycie deficytu budżetu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15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477,16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4 534 320,31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476 390,93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476 390,93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4.3</w:t>
            </w:r>
          </w:p>
        </w:tc>
        <w:tc>
          <w:tcPr>
            <w:tcW w:w="61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Wolne środki, o których mowa w art. 217 ust.2 pkt 6 ustawy</w:t>
            </w:r>
            <w:r>
              <w:rPr>
                <w:sz w:val="14"/>
                <w:vertAlign w:val="superscript"/>
              </w:rPr>
              <w:t>X</w:t>
            </w:r>
            <w:r>
              <w:rPr>
                <w:sz w:val="14"/>
              </w:rPr>
              <w:t>, w tym:</w:t>
            </w:r>
          </w:p>
        </w:tc>
        <w:tc>
          <w:tcPr>
            <w:tcW w:w="15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78 458,71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150 046,73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50 412,33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1 864 193,85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400 000,00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2 795 198,87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2 795 198,87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83 644,96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4.3.1</w:t>
            </w:r>
          </w:p>
        </w:tc>
        <w:tc>
          <w:tcPr>
            <w:tcW w:w="40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na pokrycie deficytu budżetu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15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150 046,73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400 000,00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2 325 608,87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2 005 189,84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4.4</w:t>
            </w:r>
          </w:p>
        </w:tc>
        <w:tc>
          <w:tcPr>
            <w:tcW w:w="61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Spłaty udzielonych pożyczek w latach ubiegłych</w:t>
            </w:r>
            <w:r>
              <w:rPr>
                <w:sz w:val="14"/>
                <w:vertAlign w:val="superscript"/>
              </w:rPr>
              <w:t>X</w:t>
            </w:r>
            <w:r>
              <w:rPr>
                <w:sz w:val="14"/>
              </w:rPr>
              <w:t>, w tym:</w:t>
            </w:r>
          </w:p>
        </w:tc>
        <w:tc>
          <w:tcPr>
            <w:tcW w:w="15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130 410,00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130 410,00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4.4.1</w:t>
            </w:r>
          </w:p>
        </w:tc>
        <w:tc>
          <w:tcPr>
            <w:tcW w:w="40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na pokrycie deficytu budżetu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15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4.5</w:t>
            </w:r>
          </w:p>
        </w:tc>
        <w:tc>
          <w:tcPr>
            <w:tcW w:w="61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Inne przychody niezwiązane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zaciągnięciem długu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superscript"/>
              </w:rPr>
              <w:t>X</w:t>
            </w:r>
            <w:r>
              <w:rPr>
                <w:rStyle w:val="FootnoteReference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superscript"/>
              </w:rPr>
              <w:footnoteReference w:customMarkFollows="1" w:id="8"/>
              <w:t xml:space="preserve">6)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,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tym:</w:t>
            </w:r>
          </w:p>
        </w:tc>
        <w:tc>
          <w:tcPr>
            <w:tcW w:w="15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37 500,00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37 500,00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96 530,00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96 530,00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4.5.1</w:t>
            </w:r>
          </w:p>
        </w:tc>
        <w:tc>
          <w:tcPr>
            <w:tcW w:w="40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na pokrycie deficytu budżetu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15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71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5. Rozchody budżetu</w:t>
            </w:r>
            <w:r>
              <w:rPr>
                <w:b/>
                <w:sz w:val="14"/>
                <w:vertAlign w:val="superscript"/>
              </w:rPr>
              <w:t>X</w:t>
            </w:r>
          </w:p>
        </w:tc>
        <w:tc>
          <w:tcPr>
            <w:tcW w:w="15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592 761,00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487 500,00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219 700,00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862 201,00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530 410,00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696 530,00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696 530,00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6 400 000,00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1 000 000,00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5.1</w:t>
            </w:r>
          </w:p>
        </w:tc>
        <w:tc>
          <w:tcPr>
            <w:tcW w:w="61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Spłaty rat kapitałowych kredytów i pożyczek oraz wykup papierów wartościowych</w:t>
            </w:r>
            <w:r>
              <w:rPr>
                <w:sz w:val="14"/>
                <w:vertAlign w:val="superscript"/>
              </w:rPr>
              <w:t>X</w:t>
            </w:r>
            <w:r>
              <w:rPr>
                <w:sz w:val="14"/>
              </w:rPr>
              <w:t>, w tym:</w:t>
            </w:r>
          </w:p>
        </w:tc>
        <w:tc>
          <w:tcPr>
            <w:tcW w:w="15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592 761,00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450 000,00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182 200,00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862 201,00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400 000,00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600 000,00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600 000,00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6 400 000,00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1 000 000,00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5.1.1</w:t>
            </w:r>
          </w:p>
        </w:tc>
        <w:tc>
          <w:tcPr>
            <w:tcW w:w="40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łączna kwota przypadających na dany rok kwot ustawowych wyłączeń z limitu spłaty zobowiązań</w:t>
            </w:r>
            <w:r>
              <w:rPr>
                <w:sz w:val="14"/>
                <w:vertAlign w:val="superscript"/>
              </w:rPr>
              <w:t>X</w:t>
            </w:r>
            <w:r>
              <w:rPr>
                <w:sz w:val="14"/>
              </w:rPr>
              <w:t>, z tego:</w:t>
            </w:r>
          </w:p>
        </w:tc>
        <w:tc>
          <w:tcPr>
            <w:tcW w:w="15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6 000 000,00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5.1.1.1</w:t>
            </w:r>
          </w:p>
        </w:tc>
        <w:tc>
          <w:tcPr>
            <w:tcW w:w="40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7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1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kwota przypadających na dany rok kwot wyłączeń określonych w art. 243 ust. 3 ustawy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15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5.1.1.2</w:t>
            </w:r>
          </w:p>
        </w:tc>
        <w:tc>
          <w:tcPr>
            <w:tcW w:w="40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7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1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kwota przypadających na dany rok kwot wyłączeń określonych w art. 243 ust. 3a ustawy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15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5.1.1.3</w:t>
            </w:r>
          </w:p>
        </w:tc>
        <w:tc>
          <w:tcPr>
            <w:tcW w:w="40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7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1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kwota wyłączeń z tytułu wcześniejszej spłaty zobowiązań, określonych w art. 243 ust. 3b ustawy, z tego:</w:t>
            </w:r>
          </w:p>
        </w:tc>
        <w:tc>
          <w:tcPr>
            <w:tcW w:w="15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6 000 000,00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5.1.1.3.1</w:t>
            </w:r>
          </w:p>
        </w:tc>
        <w:tc>
          <w:tcPr>
            <w:tcW w:w="40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7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7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6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środkami nowego zobowiązania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6 000 000,00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5.1.1.3.2</w:t>
            </w:r>
          </w:p>
        </w:tc>
        <w:tc>
          <w:tcPr>
            <w:tcW w:w="40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7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7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6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wolnymi środkami, o których mowa w art. 217 ust. 2 pkt 6 ustawy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5.1.1.3.3</w:t>
            </w:r>
          </w:p>
        </w:tc>
        <w:tc>
          <w:tcPr>
            <w:tcW w:w="40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7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7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6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innymi środkami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5.1.1.4</w:t>
            </w:r>
          </w:p>
        </w:tc>
        <w:tc>
          <w:tcPr>
            <w:tcW w:w="40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7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1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kwota przypadających na dany rok kwot pozostałych ustawowych wyłączeń z limitu spłaty zobowiązań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15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5.2</w:t>
            </w:r>
          </w:p>
        </w:tc>
        <w:tc>
          <w:tcPr>
            <w:tcW w:w="61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Inne rozchody niezwiązane ze spłatą długu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15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37 500,00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37 500,00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130 410,00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96 530,00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96 530,00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71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6. Kwota długu</w:t>
            </w:r>
            <w:r>
              <w:rPr>
                <w:b/>
                <w:sz w:val="14"/>
                <w:vertAlign w:val="superscript"/>
              </w:rPr>
              <w:t>X</w:t>
            </w:r>
            <w:r>
              <w:rPr>
                <w:b/>
                <w:sz w:val="14"/>
              </w:rPr>
              <w:t>, w tym:</w:t>
            </w:r>
          </w:p>
        </w:tc>
        <w:tc>
          <w:tcPr>
            <w:tcW w:w="15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750 000,00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1 044 401,00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1 262 201,00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400 000,00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5 000 000,00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6 400 000,00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6 400 000,00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6 000 000,00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5 000 000,00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6.1</w:t>
            </w:r>
          </w:p>
        </w:tc>
        <w:tc>
          <w:tcPr>
            <w:tcW w:w="61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Kwota długu, którego planowana spłata dokona się z wydatków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15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71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7. Relacja zrównoważenia wydatków bieżących, o której mowa w art. 242 ustawy</w:t>
            </w:r>
          </w:p>
        </w:tc>
        <w:tc>
          <w:tcPr>
            <w:tcW w:w="15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7.1</w:t>
            </w:r>
          </w:p>
        </w:tc>
        <w:tc>
          <w:tcPr>
            <w:tcW w:w="61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Różnica między dochodami bieżącymi a wydatkami bieżącymi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15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396 162,01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646 926,04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464 785,90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1 495 556,26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523 831,59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-290 663,23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-1 231 628,22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1 344 140,10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3 949 406,00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7.2</w:t>
            </w:r>
          </w:p>
        </w:tc>
        <w:tc>
          <w:tcPr>
            <w:tcW w:w="61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Różnica między dochodami bieżącymi, skorygowanymi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środki</w:t>
            </w:r>
            <w:r>
              <w:rPr>
                <w:rStyle w:val="FootnoteReference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superscript"/>
              </w:rPr>
              <w:footnoteReference w:customMarkFollows="1" w:id="9"/>
              <w:t xml:space="preserve">7)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wydatkami bieżącymi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superscript"/>
              </w:rPr>
              <w:t>X</w:t>
            </w:r>
          </w:p>
        </w:tc>
        <w:tc>
          <w:tcPr>
            <w:tcW w:w="15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474 620,72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797 449,93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3 577 920,18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6 655 776,04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5 458 151,90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3 111 336,57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2 170 371,58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1 664 559,13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3 949 406,00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71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8. Wskaźnik spłaty zobowiązań</w:t>
            </w:r>
          </w:p>
        </w:tc>
        <w:tc>
          <w:tcPr>
            <w:tcW w:w="15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8.1</w:t>
            </w:r>
          </w:p>
        </w:tc>
        <w:tc>
          <w:tcPr>
            <w:tcW w:w="61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Relacja określona po lewej stronie nierówności we wzorze, o którym mowa w art. 243 ust. 1 ustawy (po uwzględnieniu zobowiązań związku współtworzonego przez jednostkę samorządu terytorialnego oraz po uwzględnieniu ustawowych wyłączeń przypadających na dany rok)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15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0,00%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0,00%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0,00%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0,00%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0,00%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0,00%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0,00%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0,00%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4,57%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5,94%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8.2</w:t>
            </w:r>
          </w:p>
        </w:tc>
        <w:tc>
          <w:tcPr>
            <w:tcW w:w="61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Relacja określona po prawej stronie nierówności we wzorze, o którym mowa w art. 243 ust. 1 ustawy, ustalona dla danego roku (wskaźnik jednoroczny)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15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4,39%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-5,37%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9,54%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21,22%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8.3</w:t>
            </w:r>
          </w:p>
        </w:tc>
        <w:tc>
          <w:tcPr>
            <w:tcW w:w="61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Dopuszczalny limit spłaty zobowiązań określony po prawej stronie nierówności we wzorze, o którym mowa w art. 243 ustawy, po uwzględnieniu ustawowych wyłączeń, obliczony w oparciu o plan 3 kwartału roku poprzedzającego pierwszy rok prognozy (wskaźnik ustalony w oparciu o średnią arytmetyczną z poprzednich lat)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15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7,24%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7,42%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8.3.1</w:t>
            </w:r>
          </w:p>
        </w:tc>
        <w:tc>
          <w:tcPr>
            <w:tcW w:w="40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Dopuszczalny limit spłaty zobowiązań określony po prawej stronie nierówności we wzorze, o którym mowa w art. 243 ustawy, po uwzględnieniu ustawowych wyłączeń, obliczony w oparciu o wykonanie roku poprzedzającego pierwszy rok prognozy (wskaźnik ustalony w oparciu o średnią arytmetyczną z poprzednich lat)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15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3,99%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6,03%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8.4</w:t>
            </w:r>
          </w:p>
        </w:tc>
        <w:tc>
          <w:tcPr>
            <w:tcW w:w="61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Informacja o spełnieniu wskaźnika spłaty zobowiązań określonego w art. 243 ustawy, po uwzględnieniu zobowiązań związku współtworzonego przez jednostkę samorządu terytorialnego oraz po uwzględnieniu ustawowych wyłączeń, obliczonego w oparciu o plan 3 kwartałów roku poprzedzającego rok budżetowy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15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TAK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TAK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8.4.1</w:t>
            </w:r>
          </w:p>
        </w:tc>
        <w:tc>
          <w:tcPr>
            <w:tcW w:w="40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Informacja o spełnieniu wskaźnika spłaty zobowiązań określonego w art. 243 ustawy, po uwzględnieniu zobowiązań związku współtworzonego przez jednostkę samorządu terytorialnego oraz po uwzględnieniu ustawowych wyłączeń, obliczonego w oparciu o wykonanie roku poprzedzającego rok budżetowy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15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NIE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TAK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71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9. Finansowanie programów, projektów lub zadań realizowanych z udziałem środków, o których mowa w art. 5 ust. 1 pkt 2 i 3 ustawy</w:t>
            </w:r>
          </w:p>
        </w:tc>
        <w:tc>
          <w:tcPr>
            <w:tcW w:w="15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9.1</w:t>
            </w:r>
          </w:p>
        </w:tc>
        <w:tc>
          <w:tcPr>
            <w:tcW w:w="61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Dochody bieżące na programy, projekty lub zadania finansowane z udziałem środków, o których mowa w art. 5 ust. 1 pkt 2 i 3 ustawy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15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19 615,93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108 676,80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38 584,55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4 808,60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9.1.1</w:t>
            </w:r>
          </w:p>
        </w:tc>
        <w:tc>
          <w:tcPr>
            <w:tcW w:w="40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Dotacje i środki o charakterze bieżącym na realizację programu, projektu lub zadania finansowanego z udziałem środków, o których mowa w art. 5 ust. 1 pkt 2 ustawy</w:t>
            </w:r>
            <w:r>
              <w:rPr>
                <w:sz w:val="14"/>
                <w:vertAlign w:val="superscript"/>
              </w:rPr>
              <w:t>X</w:t>
            </w:r>
            <w:r>
              <w:rPr>
                <w:sz w:val="14"/>
              </w:rPr>
              <w:t>, w tym:</w:t>
            </w:r>
          </w:p>
        </w:tc>
        <w:tc>
          <w:tcPr>
            <w:tcW w:w="15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19 615,93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108 676,80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38 584,55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4 808,60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9.1.1.1</w:t>
            </w:r>
          </w:p>
        </w:tc>
        <w:tc>
          <w:tcPr>
            <w:tcW w:w="40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7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1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środki określone w art. 5 ust. 1 pkt 2 ustawy</w:t>
            </w:r>
          </w:p>
        </w:tc>
        <w:tc>
          <w:tcPr>
            <w:tcW w:w="15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19 615,93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94 108,79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34 834,58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4 808,60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9.2</w:t>
            </w:r>
          </w:p>
        </w:tc>
        <w:tc>
          <w:tcPr>
            <w:tcW w:w="61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Dochody majątkowe na programy, projekty lub zadania finansowane z udziałem środków, o których mowa w art. 5 ust. 1 pkt 2 i 3 ustawy</w:t>
            </w:r>
          </w:p>
        </w:tc>
        <w:tc>
          <w:tcPr>
            <w:tcW w:w="15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205 586,59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354 263,96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197 309,52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151 030,00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1 871 478,53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2 301 199,54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1 038 476,20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3 800 000,00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9.2.1</w:t>
            </w:r>
          </w:p>
        </w:tc>
        <w:tc>
          <w:tcPr>
            <w:tcW w:w="40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Dochody majątkowe na programy, projekty lub zadania finansowane z udziałem środków, o których mowa w art. 5 ust. 1 pkt 2 ustawy, w tym:</w:t>
            </w:r>
          </w:p>
        </w:tc>
        <w:tc>
          <w:tcPr>
            <w:tcW w:w="15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205 586,59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354 263,96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197 309,52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151 030,00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1 871 478,53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2 301 199,54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1 038 476,20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3 800 000,00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9.2.1.1</w:t>
            </w:r>
          </w:p>
        </w:tc>
        <w:tc>
          <w:tcPr>
            <w:tcW w:w="40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7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1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środki określone w art. 5 ust. 1 pkt 2 ustawy</w:t>
            </w:r>
          </w:p>
        </w:tc>
        <w:tc>
          <w:tcPr>
            <w:tcW w:w="15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205 586,59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141 054,84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197 309,52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142 116,76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1 702 262,46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1 976 637,63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773 999,08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3 000 000,00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9.3</w:t>
            </w:r>
          </w:p>
        </w:tc>
        <w:tc>
          <w:tcPr>
            <w:tcW w:w="61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bieżące na programy, projekty lub zadania finansowane z udziałem środków, o których mowa w art. 5 ust. 1 pkt 2 i 3 ustawy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15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39 750,03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119 599,00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29 771,75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38 483,95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57 907,93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6 100,00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3 772,00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2 861,64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340 000,00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9.3.1</w:t>
            </w:r>
          </w:p>
        </w:tc>
        <w:tc>
          <w:tcPr>
            <w:tcW w:w="40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bieżące na programy, projekty lub zadania finansowane z udziałem środków, o których mowa w art. 5 ust. 1 pkt 2 ustawy</w:t>
            </w:r>
            <w:r>
              <w:rPr>
                <w:sz w:val="14"/>
                <w:vertAlign w:val="superscript"/>
              </w:rPr>
              <w:t>X</w:t>
            </w:r>
            <w:r>
              <w:rPr>
                <w:sz w:val="14"/>
              </w:rPr>
              <w:t>, w tym:</w:t>
            </w:r>
          </w:p>
        </w:tc>
        <w:tc>
          <w:tcPr>
            <w:tcW w:w="15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39 750,03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119 599,00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29 771,75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38 483,95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57 907,93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6 100,00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3 772,00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2 861,64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272 000,00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9.3.1.1</w:t>
            </w:r>
          </w:p>
        </w:tc>
        <w:tc>
          <w:tcPr>
            <w:tcW w:w="40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7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1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finansowane środkami określonymi w art. 5 ust. 1 pkt 2 ustawy</w:t>
            </w:r>
          </w:p>
        </w:tc>
        <w:tc>
          <w:tcPr>
            <w:tcW w:w="15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29 527,11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97 642,03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23 249,78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32 859,98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43 008,08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9.4</w:t>
            </w:r>
          </w:p>
        </w:tc>
        <w:tc>
          <w:tcPr>
            <w:tcW w:w="61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majątkowe na programy, projekty lub zadania finansowane z udziałem środków, o których mowa w art. 5 ust. 1 pkt 2 i 3 ustawy</w:t>
            </w:r>
          </w:p>
        </w:tc>
        <w:tc>
          <w:tcPr>
            <w:tcW w:w="15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26 702,07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280 653,08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352 712,00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110 827,50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629 693,04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1 435 662,52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1 549 662,62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358 595,43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4 640 000,00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9.4.1</w:t>
            </w:r>
          </w:p>
        </w:tc>
        <w:tc>
          <w:tcPr>
            <w:tcW w:w="40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majątkowe na programy, projekty lub zadania finansowane z udziałem środków, o których mowa w art. 5 ust. 1 pkt 2 ustawy, w tym:</w:t>
            </w:r>
          </w:p>
        </w:tc>
        <w:tc>
          <w:tcPr>
            <w:tcW w:w="15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26 702,07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280 653,08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352 712,00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110 827,50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629 693,04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1 435 662,52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1 549 662,62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358 595,43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4 640 000,00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9.4.1.1</w:t>
            </w:r>
          </w:p>
        </w:tc>
        <w:tc>
          <w:tcPr>
            <w:tcW w:w="40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7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1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finansowane środkami określonymi w art. 5 ust. 1 pkt 2 ustawy</w:t>
            </w:r>
          </w:p>
        </w:tc>
        <w:tc>
          <w:tcPr>
            <w:tcW w:w="15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16 281,75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147 785,49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211 627,20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100 000,00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557 146,63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1 007 196,45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1 126 251,57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290 795,29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3 800 000,00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71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10. Informacje uzupełniające o wybranych kategoriach finansowych</w:t>
            </w:r>
          </w:p>
        </w:tc>
        <w:tc>
          <w:tcPr>
            <w:tcW w:w="15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10.1</w:t>
            </w:r>
          </w:p>
        </w:tc>
        <w:tc>
          <w:tcPr>
            <w:tcW w:w="61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objęte limitem, o którym mowa w art. 226 ust. 3 pkt 4 ustawy, z tego:</w:t>
            </w:r>
          </w:p>
        </w:tc>
        <w:tc>
          <w:tcPr>
            <w:tcW w:w="15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2 040 124,00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4 230 451,57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13 058 384,65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14 797 938,00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14 797 938,00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17 016 000,00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9 644 000,00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10.1.1</w:t>
            </w:r>
          </w:p>
        </w:tc>
        <w:tc>
          <w:tcPr>
            <w:tcW w:w="40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bieżące</w:t>
            </w:r>
          </w:p>
        </w:tc>
        <w:tc>
          <w:tcPr>
            <w:tcW w:w="15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1 620 124,00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1 687 051,57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2 337 000,00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2 061 938,00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2 061 938,00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2 178 000,00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2 759 000,00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10.1.2</w:t>
            </w:r>
          </w:p>
        </w:tc>
        <w:tc>
          <w:tcPr>
            <w:tcW w:w="40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majątkowe</w:t>
            </w:r>
          </w:p>
        </w:tc>
        <w:tc>
          <w:tcPr>
            <w:tcW w:w="15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420 000,00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2 543 400,00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10 721 384,65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12 736 000,00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12 736 000,00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14 838 000,00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6 885 000,00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10.2</w:t>
            </w:r>
          </w:p>
        </w:tc>
        <w:tc>
          <w:tcPr>
            <w:tcW w:w="61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bieżące na pokrycie ujemnego wyniku finansowego samodzielnego publicznego zakładu opieki zdrowotnej</w:t>
            </w:r>
          </w:p>
        </w:tc>
        <w:tc>
          <w:tcPr>
            <w:tcW w:w="15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10.3</w:t>
            </w:r>
          </w:p>
        </w:tc>
        <w:tc>
          <w:tcPr>
            <w:tcW w:w="61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na spłatę zobowiązań przejmowanych w związku z likwidacją lub przekształceniem samodzielnego publicznego zakładu opieki zdrowotnej</w:t>
            </w:r>
          </w:p>
        </w:tc>
        <w:tc>
          <w:tcPr>
            <w:tcW w:w="15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10.4</w:t>
            </w:r>
          </w:p>
        </w:tc>
        <w:tc>
          <w:tcPr>
            <w:tcW w:w="61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Kwota zobowiązań związku współtworzonego przez jednostkę samorządu terytorialnego przypadających do spłaty w danym roku budżetowym, podlegająca doliczeniu zgodnie z art. 244 ustawy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15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10.5</w:t>
            </w:r>
          </w:p>
        </w:tc>
        <w:tc>
          <w:tcPr>
            <w:tcW w:w="61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Kwota zobowiązań wynikających z przejęcia przez jednostkę samorządu terytorialnego zobowiązań po likwidowanych i przekształcanych samorządowych osobach prawnych</w:t>
            </w:r>
          </w:p>
        </w:tc>
        <w:tc>
          <w:tcPr>
            <w:tcW w:w="15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10.6</w:t>
            </w:r>
          </w:p>
        </w:tc>
        <w:tc>
          <w:tcPr>
            <w:tcW w:w="61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Spłaty, o których mowa w poz. 5.1, wynikające wyłącznie z tytułu zobowiązań już zaciągniętych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15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592 761,00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450 000,00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182 200,00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862 201,00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6 400 000,00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600 000,00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600 000,00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400 000,00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1 000 000,00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10.7</w:t>
            </w:r>
          </w:p>
        </w:tc>
        <w:tc>
          <w:tcPr>
            <w:tcW w:w="61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zmniejszające dług</w:t>
            </w:r>
            <w:r>
              <w:rPr>
                <w:sz w:val="14"/>
                <w:vertAlign w:val="superscript"/>
              </w:rPr>
              <w:t>X</w:t>
            </w:r>
            <w:r>
              <w:rPr>
                <w:sz w:val="14"/>
              </w:rPr>
              <w:t>, w tym:</w:t>
            </w:r>
          </w:p>
        </w:tc>
        <w:tc>
          <w:tcPr>
            <w:tcW w:w="15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10.7.1</w:t>
            </w:r>
          </w:p>
        </w:tc>
        <w:tc>
          <w:tcPr>
            <w:tcW w:w="40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spłata zobowiązań wymagalnych z lat poprzednich, innych niż w poz. 10.7.3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15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10.7.2</w:t>
            </w:r>
          </w:p>
        </w:tc>
        <w:tc>
          <w:tcPr>
            <w:tcW w:w="40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spłata zobowiązań zaliczanych do tytułu dłużnego – kredyt i pożyczka</w:t>
            </w:r>
            <w:r>
              <w:rPr>
                <w:sz w:val="14"/>
                <w:vertAlign w:val="superscript"/>
              </w:rPr>
              <w:t>X</w:t>
            </w:r>
            <w:r>
              <w:rPr>
                <w:sz w:val="14"/>
              </w:rPr>
              <w:t>, w tym:</w:t>
            </w:r>
          </w:p>
        </w:tc>
        <w:tc>
          <w:tcPr>
            <w:tcW w:w="15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10.7.2.1</w:t>
            </w:r>
          </w:p>
        </w:tc>
        <w:tc>
          <w:tcPr>
            <w:tcW w:w="40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7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1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zobowiązań zaciągniętych po dniu 1 stycznia 2019 r.</w:t>
            </w:r>
            <w:r>
              <w:rPr>
                <w:sz w:val="14"/>
                <w:vertAlign w:val="superscript"/>
              </w:rPr>
              <w:t>X</w:t>
            </w:r>
            <w:r>
              <w:rPr>
                <w:sz w:val="14"/>
              </w:rPr>
              <w:t>, w tym:</w:t>
            </w:r>
          </w:p>
        </w:tc>
        <w:tc>
          <w:tcPr>
            <w:tcW w:w="15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10.7.2.1.1</w:t>
            </w:r>
          </w:p>
        </w:tc>
        <w:tc>
          <w:tcPr>
            <w:tcW w:w="40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7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7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6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dokonywana w formie wydatku bieżącego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10.7.3</w:t>
            </w:r>
          </w:p>
        </w:tc>
        <w:tc>
          <w:tcPr>
            <w:tcW w:w="40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wypłaty z tytułu wymagalnych poręczeń i gwarancji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15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10.8</w:t>
            </w:r>
          </w:p>
        </w:tc>
        <w:tc>
          <w:tcPr>
            <w:tcW w:w="61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Kwota wzrostu(+)/spadku(−) kwoty długu wynikająca z operacji niekasowych (m.in. umorzenia, różnice kursowe)</w:t>
            </w:r>
          </w:p>
        </w:tc>
        <w:tc>
          <w:tcPr>
            <w:tcW w:w="15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10.9</w:t>
            </w:r>
          </w:p>
        </w:tc>
        <w:tc>
          <w:tcPr>
            <w:tcW w:w="61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Wcześniejsza spłata zobowiązań, wyłączona z limitu spłaty zobowiązań, dokonywana w formie wydatków budżetowych</w:t>
            </w:r>
          </w:p>
        </w:tc>
        <w:tc>
          <w:tcPr>
            <w:tcW w:w="15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10.10</w:t>
            </w:r>
          </w:p>
        </w:tc>
        <w:tc>
          <w:tcPr>
            <w:tcW w:w="61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Wykup papierów wartościowych, spłaty rat kredytów i pożyczek wraz z należnymi odsetkami i dyskontem, odpowiednio emitowanych lub zaciągniętych do równowartości kwoty ubytku w wykonanych dochodach jednostki samorządu terytorialnego będącego skutkiem wystąpienia COVID-19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15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10.11</w:t>
            </w:r>
          </w:p>
        </w:tc>
        <w:tc>
          <w:tcPr>
            <w:tcW w:w="61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Wydatki bieżące podlegające ustawowemu wyłączeniu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limitu spłaty zobowiązań</w:t>
            </w:r>
            <w:r>
              <w:rPr>
                <w:rStyle w:val="FootnoteReference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superscript"/>
              </w:rPr>
              <w:footnoteReference w:customMarkFollows="1" w:id="10"/>
              <w:t xml:space="preserve">8)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</w:p>
        </w:tc>
        <w:tc>
          <w:tcPr>
            <w:tcW w:w="15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2172"/>
        <w:gridCol w:w="565"/>
        <w:gridCol w:w="540"/>
        <w:gridCol w:w="540"/>
        <w:gridCol w:w="7236"/>
        <w:gridCol w:w="1"/>
        <w:gridCol w:w="2183"/>
        <w:gridCol w:w="1"/>
        <w:gridCol w:w="2183"/>
        <w:gridCol w:w="1"/>
        <w:gridCol w:w="2183"/>
        <w:gridCol w:w="1"/>
        <w:gridCol w:w="2183"/>
        <w:gridCol w:w="1"/>
        <w:gridCol w:w="2197"/>
      </w:tblGrid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151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Wyszczególnienie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2027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2028</w:t>
            </w:r>
            <w:r>
              <w:rPr>
                <w:rStyle w:val="FootnoteReference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superscript"/>
              </w:rPr>
              <w:footnoteReference w:customMarkFollows="1" w:id="11"/>
              <w:t xml:space="preserve">9)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2029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2030</w:t>
            </w:r>
          </w:p>
        </w:tc>
        <w:tc>
          <w:tcPr>
            <w:tcW w:w="2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2031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151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1. Dochody ogółem</w:t>
            </w:r>
            <w:r>
              <w:rPr>
                <w:b/>
                <w:sz w:val="14"/>
                <w:vertAlign w:val="superscript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25 271 055,00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23 594 645,00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24 135 695,00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24 774 087,00</w:t>
            </w:r>
          </w:p>
        </w:tc>
        <w:tc>
          <w:tcPr>
            <w:tcW w:w="2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25 525 909,00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1.1</w:t>
            </w:r>
          </w:p>
        </w:tc>
        <w:tc>
          <w:tcPr>
            <w:tcW w:w="92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Dochody bieżące</w:t>
            </w:r>
            <w:r>
              <w:rPr>
                <w:sz w:val="14"/>
                <w:vertAlign w:val="superscript"/>
              </w:rPr>
              <w:t>X</w:t>
            </w:r>
            <w:r>
              <w:rPr>
                <w:sz w:val="14"/>
              </w:rPr>
              <w:t>, z tego: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22 871 055,00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22 894 645,00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23 485 695,00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24 124 087,00</w:t>
            </w:r>
          </w:p>
        </w:tc>
        <w:tc>
          <w:tcPr>
            <w:tcW w:w="2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24 727 189,00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1.1.1</w:t>
            </w:r>
          </w:p>
        </w:tc>
        <w:tc>
          <w:tcPr>
            <w:tcW w:w="58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6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dochody z tytułu udziału we wpływach z podatku dochodowego od osób fizycznych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6 302 489,00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6 478 959,00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6 660 370,00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6 826 879,00</w:t>
            </w:r>
          </w:p>
        </w:tc>
        <w:tc>
          <w:tcPr>
            <w:tcW w:w="2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6 997 551,00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1.1.2</w:t>
            </w:r>
          </w:p>
        </w:tc>
        <w:tc>
          <w:tcPr>
            <w:tcW w:w="58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6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dochody z tytułu udziału we wpływach z podatku dochodowego od osób prawnych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57 757,00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59 374,00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61 036,00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62 562,00</w:t>
            </w:r>
          </w:p>
        </w:tc>
        <w:tc>
          <w:tcPr>
            <w:tcW w:w="2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64 126,00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1.1.3</w:t>
            </w:r>
          </w:p>
        </w:tc>
        <w:tc>
          <w:tcPr>
            <w:tcW w:w="58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6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 subwencji ogólnej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5 491 317,00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5 445 074,00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5 803 136,00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5 948 214,00</w:t>
            </w:r>
          </w:p>
        </w:tc>
        <w:tc>
          <w:tcPr>
            <w:tcW w:w="2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6 096 919,00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1.1.4</w:t>
            </w:r>
          </w:p>
        </w:tc>
        <w:tc>
          <w:tcPr>
            <w:tcW w:w="58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6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 tytułu dotacji i środków przeznaczonych na cele bieżące</w:t>
            </w:r>
            <w:r>
              <w:rPr>
                <w:sz w:val="14"/>
                <w:vertAlign w:val="superscript"/>
              </w:rPr>
              <w:t>X3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1 767 850,00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1 800 350,00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1 868 236,00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1 914 942,00</w:t>
            </w:r>
          </w:p>
        </w:tc>
        <w:tc>
          <w:tcPr>
            <w:tcW w:w="2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1 962 816,00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1.1.5</w:t>
            </w:r>
          </w:p>
        </w:tc>
        <w:tc>
          <w:tcPr>
            <w:tcW w:w="58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6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pozostałe dochody bieżące</w:t>
            </w:r>
            <w:r>
              <w:rPr>
                <w:sz w:val="14"/>
                <w:vertAlign w:val="superscript"/>
              </w:rPr>
              <w:t>4</w:t>
            </w:r>
            <w:r>
              <w:rPr>
                <w:sz w:val="14"/>
              </w:rPr>
              <w:t>, w tym: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9 251 642,00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9 110 888,00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9 092 917,00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9 371 490,00</w:t>
            </w:r>
          </w:p>
        </w:tc>
        <w:tc>
          <w:tcPr>
            <w:tcW w:w="2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9 605 777,00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1.1.5.1</w:t>
            </w:r>
          </w:p>
        </w:tc>
        <w:tc>
          <w:tcPr>
            <w:tcW w:w="58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 podatku od nieruchomości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3 198 299,00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3 385 051,00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3 274 232,00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3 356 088,00</w:t>
            </w:r>
          </w:p>
        </w:tc>
        <w:tc>
          <w:tcPr>
            <w:tcW w:w="2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3 439 990,00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1.2</w:t>
            </w:r>
          </w:p>
        </w:tc>
        <w:tc>
          <w:tcPr>
            <w:tcW w:w="92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Dochody majątkowe</w:t>
            </w:r>
            <w:r>
              <w:rPr>
                <w:sz w:val="14"/>
                <w:vertAlign w:val="superscript"/>
              </w:rPr>
              <w:t>X</w:t>
            </w:r>
            <w:r>
              <w:rPr>
                <w:sz w:val="14"/>
              </w:rPr>
              <w:t>, w tym: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2 400 000,00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700 000,00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650 000,00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650 000,00</w:t>
            </w:r>
          </w:p>
        </w:tc>
        <w:tc>
          <w:tcPr>
            <w:tcW w:w="2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798 720,00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1.2.1</w:t>
            </w:r>
          </w:p>
        </w:tc>
        <w:tc>
          <w:tcPr>
            <w:tcW w:w="58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6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ze sprzedaży majątku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1.2.2</w:t>
            </w:r>
          </w:p>
        </w:tc>
        <w:tc>
          <w:tcPr>
            <w:tcW w:w="58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6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 tytułu dotacji oraz środków przeznaczonych na inwestycje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2 400 000,00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700 000,00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650 000,00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650 000,00</w:t>
            </w:r>
          </w:p>
        </w:tc>
        <w:tc>
          <w:tcPr>
            <w:tcW w:w="2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798 720,00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151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2. Wydatki ogółem</w:t>
            </w:r>
            <w:r>
              <w:rPr>
                <w:b/>
                <w:sz w:val="14"/>
                <w:vertAlign w:val="superscript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24 271 055,00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22 594 645,00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23 135 695,00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23 774 087,00</w:t>
            </w:r>
          </w:p>
        </w:tc>
        <w:tc>
          <w:tcPr>
            <w:tcW w:w="2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24 525 909,00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2.1</w:t>
            </w:r>
          </w:p>
        </w:tc>
        <w:tc>
          <w:tcPr>
            <w:tcW w:w="92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bieżące</w:t>
            </w:r>
            <w:r>
              <w:rPr>
                <w:sz w:val="14"/>
                <w:vertAlign w:val="superscript"/>
              </w:rPr>
              <w:t>X</w:t>
            </w:r>
            <w:r>
              <w:rPr>
                <w:sz w:val="14"/>
              </w:rPr>
              <w:t>, w tym: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19 428 425,00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19 984 883,00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20 445 222,00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20 932 627,00</w:t>
            </w:r>
          </w:p>
        </w:tc>
        <w:tc>
          <w:tcPr>
            <w:tcW w:w="2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21 430 693,00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2.1.1</w:t>
            </w:r>
          </w:p>
        </w:tc>
        <w:tc>
          <w:tcPr>
            <w:tcW w:w="58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6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na wynagrodzenia i składki od nich naliczane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10 768 116,00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11 196 149,00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11 495 646,00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11 794 533,00</w:t>
            </w:r>
          </w:p>
        </w:tc>
        <w:tc>
          <w:tcPr>
            <w:tcW w:w="2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12 092 345,00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2.1.2</w:t>
            </w:r>
          </w:p>
        </w:tc>
        <w:tc>
          <w:tcPr>
            <w:tcW w:w="58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6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 tytułu poręczeń i gwarancji</w:t>
            </w:r>
            <w:r>
              <w:rPr>
                <w:sz w:val="14"/>
                <w:vertAlign w:val="superscript"/>
              </w:rPr>
              <w:t>X</w:t>
            </w:r>
            <w:r>
              <w:rPr>
                <w:sz w:val="14"/>
              </w:rPr>
              <w:t>, w tym: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2.1.2.1</w:t>
            </w:r>
          </w:p>
        </w:tc>
        <w:tc>
          <w:tcPr>
            <w:tcW w:w="58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gwarancje i poręczenia podlegające wyłączeniu z limitu spłaty zobowiązań, o którym mowa w art. 243 ustawy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2.1.3</w:t>
            </w:r>
          </w:p>
        </w:tc>
        <w:tc>
          <w:tcPr>
            <w:tcW w:w="58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6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na obsługę długu</w:t>
            </w:r>
            <w:r>
              <w:rPr>
                <w:sz w:val="14"/>
                <w:vertAlign w:val="superscript"/>
              </w:rPr>
              <w:t>X</w:t>
            </w:r>
            <w:r>
              <w:rPr>
                <w:sz w:val="14"/>
              </w:rPr>
              <w:t>, w tym: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208 000,00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120 000,00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71 000,00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38 000,00</w:t>
            </w:r>
          </w:p>
        </w:tc>
        <w:tc>
          <w:tcPr>
            <w:tcW w:w="2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12 000,00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2.1.3.1</w:t>
            </w:r>
          </w:p>
        </w:tc>
        <w:tc>
          <w:tcPr>
            <w:tcW w:w="58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odsetki i dyskonto podlegające wyłączeniu z limitu spłaty zobowiązań, o którym mowa w art. 243 ustawy, w terminie nie dłuższym niż 90 dni po zakończeniu programu, projektu lub zadania i otrzymaniu refundacji z tych środków (bez odsetek i dyskonta od zobowiązań na wkład krajowy)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2.1.3.2</w:t>
            </w:r>
          </w:p>
        </w:tc>
        <w:tc>
          <w:tcPr>
            <w:tcW w:w="58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odsetki i dyskonto podlegające wyłączeniu z limitu spłaty zobowiązań, o którym mowa w art. 243 ustawy, z tytułu zobowiązań zaciągniętych na wkład krajowy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2.1.3.3</w:t>
            </w:r>
          </w:p>
        </w:tc>
        <w:tc>
          <w:tcPr>
            <w:tcW w:w="58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pozostałe odsetki i dyskonto podlegające wyłączeniu z limitu spłaty zobowiązań, o którym mowa w art. 243 ustawy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2.2</w:t>
            </w:r>
          </w:p>
        </w:tc>
        <w:tc>
          <w:tcPr>
            <w:tcW w:w="92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majątkowe</w:t>
            </w:r>
            <w:r>
              <w:rPr>
                <w:sz w:val="14"/>
                <w:vertAlign w:val="superscript"/>
              </w:rPr>
              <w:t>X</w:t>
            </w:r>
            <w:r>
              <w:rPr>
                <w:sz w:val="14"/>
              </w:rPr>
              <w:t>, w tym: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4 842 630,00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2 609 762,00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2 690 473,00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2 841 460,00</w:t>
            </w:r>
          </w:p>
        </w:tc>
        <w:tc>
          <w:tcPr>
            <w:tcW w:w="2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3 095 216,00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2.2.1</w:t>
            </w:r>
          </w:p>
        </w:tc>
        <w:tc>
          <w:tcPr>
            <w:tcW w:w="58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6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Inwestycje i zakupy inwestycyjne, o których mowa w art. 236 ust. 4 pkt 1 ustawy, w tym: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4 842 630,00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2 609 762,00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2 690 473,00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2 841 460,00</w:t>
            </w:r>
          </w:p>
        </w:tc>
        <w:tc>
          <w:tcPr>
            <w:tcW w:w="2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3 095 216,00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2.2.1.1</w:t>
            </w:r>
          </w:p>
        </w:tc>
        <w:tc>
          <w:tcPr>
            <w:tcW w:w="58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o charakterze dotacyjnym na inwestycje i zakupy inwestycyjne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151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3. Wynik budżetu</w:t>
            </w:r>
            <w:r>
              <w:rPr>
                <w:b/>
                <w:sz w:val="14"/>
                <w:vertAlign w:val="superscript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1 000 000,00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1 000 000,00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1 000 000,00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1 000 000,00</w:t>
            </w:r>
          </w:p>
        </w:tc>
        <w:tc>
          <w:tcPr>
            <w:tcW w:w="2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1 000 000,00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3.1</w:t>
            </w:r>
          </w:p>
        </w:tc>
        <w:tc>
          <w:tcPr>
            <w:tcW w:w="92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Kwota prognozowanej nadwyżki budżetu przeznaczana na spłatę kredytów, pożyczek i wykup papierów wartościowych</w:t>
            </w:r>
            <w:r>
              <w:rPr>
                <w:sz w:val="14"/>
                <w:vertAlign w:val="superscript"/>
              </w:rPr>
              <w:t>5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1 000 000,00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1 000 000,00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1 000 000,00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1 000 000,00</w:t>
            </w:r>
          </w:p>
        </w:tc>
        <w:tc>
          <w:tcPr>
            <w:tcW w:w="2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1 000 000,00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151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4. Przychody budżetu</w:t>
            </w:r>
            <w:r>
              <w:rPr>
                <w:b/>
                <w:sz w:val="14"/>
                <w:vertAlign w:val="superscript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4.1</w:t>
            </w:r>
          </w:p>
        </w:tc>
        <w:tc>
          <w:tcPr>
            <w:tcW w:w="92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Kredyty, pożyczki, emisja papierów wartościowych</w:t>
            </w:r>
            <w:r>
              <w:rPr>
                <w:sz w:val="14"/>
                <w:vertAlign w:val="superscript"/>
              </w:rPr>
              <w:t>X</w:t>
            </w:r>
            <w:r>
              <w:rPr>
                <w:sz w:val="14"/>
              </w:rPr>
              <w:t>, w tym: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4.1.1</w:t>
            </w:r>
          </w:p>
        </w:tc>
        <w:tc>
          <w:tcPr>
            <w:tcW w:w="58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6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na pokrycie deficytu budżetu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4.2</w:t>
            </w:r>
          </w:p>
        </w:tc>
        <w:tc>
          <w:tcPr>
            <w:tcW w:w="92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Nadwyżka budżetowa z lat ubiegłych</w:t>
            </w:r>
            <w:r>
              <w:rPr>
                <w:sz w:val="14"/>
                <w:vertAlign w:val="superscript"/>
              </w:rPr>
              <w:t>X6</w:t>
            </w:r>
            <w:r>
              <w:rPr>
                <w:sz w:val="14"/>
              </w:rPr>
              <w:t>, w tym: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4.2.1</w:t>
            </w:r>
          </w:p>
        </w:tc>
        <w:tc>
          <w:tcPr>
            <w:tcW w:w="58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6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na pokrycie deficytu budżetu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4.3</w:t>
            </w:r>
          </w:p>
        </w:tc>
        <w:tc>
          <w:tcPr>
            <w:tcW w:w="92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Wolne środki, o których mowa w art. 217 ust.2 pkt 6 ustawy</w:t>
            </w:r>
            <w:r>
              <w:rPr>
                <w:sz w:val="14"/>
                <w:vertAlign w:val="superscript"/>
              </w:rPr>
              <w:t>X</w:t>
            </w:r>
            <w:r>
              <w:rPr>
                <w:sz w:val="14"/>
              </w:rPr>
              <w:t>, w tym: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4.3.1</w:t>
            </w:r>
          </w:p>
        </w:tc>
        <w:tc>
          <w:tcPr>
            <w:tcW w:w="58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6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na pokrycie deficytu budżetu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4.4</w:t>
            </w:r>
          </w:p>
        </w:tc>
        <w:tc>
          <w:tcPr>
            <w:tcW w:w="92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Spłaty udzielonych pożyczek w latach ubiegłych</w:t>
            </w:r>
            <w:r>
              <w:rPr>
                <w:sz w:val="14"/>
                <w:vertAlign w:val="superscript"/>
              </w:rPr>
              <w:t>X</w:t>
            </w:r>
            <w:r>
              <w:rPr>
                <w:sz w:val="14"/>
              </w:rPr>
              <w:t>, w tym: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4.4.1</w:t>
            </w:r>
          </w:p>
        </w:tc>
        <w:tc>
          <w:tcPr>
            <w:tcW w:w="58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6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na pokrycie deficytu budżetu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4.5</w:t>
            </w:r>
          </w:p>
        </w:tc>
        <w:tc>
          <w:tcPr>
            <w:tcW w:w="92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Inne przychody niezwiązane z zaciągnięciem długu</w:t>
            </w:r>
            <w:r>
              <w:rPr>
                <w:sz w:val="14"/>
                <w:vertAlign w:val="superscript"/>
              </w:rPr>
              <w:t>X7</w:t>
            </w:r>
            <w:r>
              <w:rPr>
                <w:sz w:val="14"/>
              </w:rPr>
              <w:t>, w tym: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4.5.1</w:t>
            </w:r>
          </w:p>
        </w:tc>
        <w:tc>
          <w:tcPr>
            <w:tcW w:w="58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6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na pokrycie deficytu budżetu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151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5. Rozchody budżetu</w:t>
            </w:r>
            <w:r>
              <w:rPr>
                <w:b/>
                <w:sz w:val="14"/>
                <w:vertAlign w:val="superscript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1 000 000,00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1 000 000,00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1 000 000,00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1 000 000,00</w:t>
            </w:r>
          </w:p>
        </w:tc>
        <w:tc>
          <w:tcPr>
            <w:tcW w:w="2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1 000 000,00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5.1</w:t>
            </w:r>
          </w:p>
        </w:tc>
        <w:tc>
          <w:tcPr>
            <w:tcW w:w="92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Spłaty rat kapitałowych kredytów i pożyczek oraz wykup papierów wartościowych</w:t>
            </w:r>
            <w:r>
              <w:rPr>
                <w:sz w:val="14"/>
                <w:vertAlign w:val="superscript"/>
              </w:rPr>
              <w:t>X</w:t>
            </w:r>
            <w:r>
              <w:rPr>
                <w:sz w:val="14"/>
              </w:rPr>
              <w:t>, w tym: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1 000 000,00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1 000 000,00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1 000 000,00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1 000 000,00</w:t>
            </w:r>
          </w:p>
        </w:tc>
        <w:tc>
          <w:tcPr>
            <w:tcW w:w="2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1 000 000,00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5.1.1</w:t>
            </w:r>
          </w:p>
        </w:tc>
        <w:tc>
          <w:tcPr>
            <w:tcW w:w="58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6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łączna kwota przypadających na dany rok kwot ustawowych wyłączeń z limitu spłaty zobowiązań</w:t>
            </w:r>
            <w:r>
              <w:rPr>
                <w:sz w:val="14"/>
                <w:vertAlign w:val="superscript"/>
              </w:rPr>
              <w:t>X</w:t>
            </w:r>
            <w:r>
              <w:rPr>
                <w:sz w:val="14"/>
              </w:rPr>
              <w:t>, z tego: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5.1.1.1</w:t>
            </w:r>
          </w:p>
        </w:tc>
        <w:tc>
          <w:tcPr>
            <w:tcW w:w="58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kwota przypadających na dany rok kwot wyłączeń określonych w art. 243 ust. 3 ustawy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5.1.1.2</w:t>
            </w:r>
          </w:p>
        </w:tc>
        <w:tc>
          <w:tcPr>
            <w:tcW w:w="58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kwota przypadających na dany rok kwot wyłączeń określonych w art. 243 ust. 3a ustawy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5.1.1.3</w:t>
            </w:r>
          </w:p>
        </w:tc>
        <w:tc>
          <w:tcPr>
            <w:tcW w:w="58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kwota wyłączeń z tytułu wcześniejszej spłaty zobowiązań, określonych w art. 243 ust. 3b ustawy, z tego: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2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5.1.1.3.1</w:t>
            </w:r>
          </w:p>
        </w:tc>
        <w:tc>
          <w:tcPr>
            <w:tcW w:w="58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5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środkami nowego zobowiązania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2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5.1.1.3.2</w:t>
            </w:r>
          </w:p>
        </w:tc>
        <w:tc>
          <w:tcPr>
            <w:tcW w:w="58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5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wolnymi środkami, o których mowa w art. 217 ust. 2 pkt 6 ustawy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2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5.1.1.3.3</w:t>
            </w:r>
          </w:p>
        </w:tc>
        <w:tc>
          <w:tcPr>
            <w:tcW w:w="58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5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innymi środkami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2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5.1.1.4</w:t>
            </w:r>
          </w:p>
        </w:tc>
        <w:tc>
          <w:tcPr>
            <w:tcW w:w="58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kwota przypadających na dany rok kwot pozostałych ustawowych wyłączeń z limitu spłaty zobowiązań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5.2</w:t>
            </w:r>
          </w:p>
        </w:tc>
        <w:tc>
          <w:tcPr>
            <w:tcW w:w="92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Inne rozchody niezwiązane ze spłatą długu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151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6. Kwota długu</w:t>
            </w:r>
            <w:r>
              <w:rPr>
                <w:b/>
                <w:sz w:val="14"/>
                <w:vertAlign w:val="superscript"/>
              </w:rPr>
              <w:t>X</w:t>
            </w:r>
            <w:r>
              <w:rPr>
                <w:b/>
                <w:sz w:val="14"/>
              </w:rPr>
              <w:t>, w tym: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4 000 000,00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3 000 000,00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2 000 000,00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1 000 000,00</w:t>
            </w:r>
          </w:p>
        </w:tc>
        <w:tc>
          <w:tcPr>
            <w:tcW w:w="2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6.1</w:t>
            </w:r>
          </w:p>
        </w:tc>
        <w:tc>
          <w:tcPr>
            <w:tcW w:w="92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Kwota długu, którego planowana spłata dokona się z wydatków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151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7. Relacja zrównoważenia wydatków bieżących, o której mowa w art. 242 ustawy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7.1</w:t>
            </w:r>
          </w:p>
        </w:tc>
        <w:tc>
          <w:tcPr>
            <w:tcW w:w="92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Różnica między dochodami bieżącymi a wydatkami bieżącymi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3 442 630,00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2 909 762,00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3 040 473,00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3 191 460,00</w:t>
            </w:r>
          </w:p>
        </w:tc>
        <w:tc>
          <w:tcPr>
            <w:tcW w:w="2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3 296 496,00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7.2</w:t>
            </w:r>
          </w:p>
        </w:tc>
        <w:tc>
          <w:tcPr>
            <w:tcW w:w="92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Różnica między dochodami bieżącymi, skorygowanymi o środki</w:t>
            </w:r>
            <w:r>
              <w:rPr>
                <w:sz w:val="14"/>
                <w:vertAlign w:val="superscript"/>
              </w:rPr>
              <w:t>8</w:t>
            </w:r>
            <w:r>
              <w:rPr>
                <w:sz w:val="14"/>
              </w:rPr>
              <w:t xml:space="preserve"> a wydatkami bieżącymi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3 442 630,00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2 909 762,00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3 040 473,00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3 191 460,00</w:t>
            </w:r>
          </w:p>
        </w:tc>
        <w:tc>
          <w:tcPr>
            <w:tcW w:w="2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3 296 496,00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151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8. Wskaźnik spłaty zobowiązań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8.1</w:t>
            </w:r>
          </w:p>
        </w:tc>
        <w:tc>
          <w:tcPr>
            <w:tcW w:w="92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Relacja określona po lewej stronie nierówności we wzorze, o którym mowa w art. 243 ust. 1 ustawy (po uwzględnieniu zobowiązań związku współtworzonego przez jednostkę samorządu terytorialnego oraz po uwzględnieniu ustawowych wyłączeń przypadających na dany rok)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5,72%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5,31%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4,95%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4,67%</w:t>
            </w:r>
          </w:p>
        </w:tc>
        <w:tc>
          <w:tcPr>
            <w:tcW w:w="2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4,45%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8.2</w:t>
            </w:r>
          </w:p>
        </w:tc>
        <w:tc>
          <w:tcPr>
            <w:tcW w:w="92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Relacja określona po prawej stronie nierówności we wzorze, o którym mowa w art. 243 ust. 1 ustawy, ustalona dla danego roku (wskaźnik jednoroczny)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17,30%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14,36%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14,39%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14,54%</w:t>
            </w:r>
          </w:p>
        </w:tc>
        <w:tc>
          <w:tcPr>
            <w:tcW w:w="2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14,53%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8.3</w:t>
            </w:r>
          </w:p>
        </w:tc>
        <w:tc>
          <w:tcPr>
            <w:tcW w:w="92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Dopuszczalny limit spłaty zobowiązań określony po prawej stronie nierówności we wzorze, o którym mowa w art. 243 ustawy, po uwzględnieniu ustawowych wyłączeń, obliczony w oparciu o plan 3 kwartału roku poprzedzającego pierwszy rok prognozy (wskaźnik ustalony w oparciu o średnią arytmetyczną z poprzednich lat)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9,61%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10,89%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12,02%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12,26%</w:t>
            </w:r>
          </w:p>
        </w:tc>
        <w:tc>
          <w:tcPr>
            <w:tcW w:w="2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13,68%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8.3.1</w:t>
            </w:r>
          </w:p>
        </w:tc>
        <w:tc>
          <w:tcPr>
            <w:tcW w:w="58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6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Dopuszczalny limit spłaty zobowiązań określony po prawej stronie nierówności we wzorze, o którym mowa w art. 243 ustawy, po uwzględnieniu ustawowych wyłączeń, obliczony w oparciu o wykonanie roku poprzedzającego pierwszy rok prognozy (wskaźnik ustalony w oparciu o średnią arytmetyczną z poprzednich lat)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8,22%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9,49%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10,63%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10,87%</w:t>
            </w:r>
          </w:p>
        </w:tc>
        <w:tc>
          <w:tcPr>
            <w:tcW w:w="2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12,28%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8.4</w:t>
            </w:r>
          </w:p>
        </w:tc>
        <w:tc>
          <w:tcPr>
            <w:tcW w:w="92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Informacja o spełnieniu wskaźnika spłaty zobowiązań określonego w art. 243 ustawy, po uwzględnieniu zobowiązań związku współtworzonego przez jednostkę samorządu terytorialnego oraz po uwzględnieniu ustawowych wyłączeń, obliczonego w oparciu o plan 3 kwartałów roku poprzedzającego rok budżetowy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TAK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TAK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TAK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TAK</w:t>
            </w:r>
          </w:p>
        </w:tc>
        <w:tc>
          <w:tcPr>
            <w:tcW w:w="2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TAK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8.4.1</w:t>
            </w:r>
          </w:p>
        </w:tc>
        <w:tc>
          <w:tcPr>
            <w:tcW w:w="58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6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Informacja o spełnieniu wskaźnika spłaty zobowiązań określonego w art. 243 ustawy, po uwzględnieniu zobowiązań związku współtworzonego przez jednostkę samorządu terytorialnego oraz po uwzględnieniu ustawowych wyłączeń, obliczonego w oparciu o wykonanie roku poprzedzającego rok budżetowy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TAK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TAK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TAK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TAK</w:t>
            </w:r>
          </w:p>
        </w:tc>
        <w:tc>
          <w:tcPr>
            <w:tcW w:w="2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TAK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151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9. Finansowanie programów, projektów lub zadań realizowanych z udziałem środków, o których mowa w art. 5 ust. 1 pkt 2 i 3 ustawy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9.1</w:t>
            </w:r>
          </w:p>
        </w:tc>
        <w:tc>
          <w:tcPr>
            <w:tcW w:w="92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Dochody bieżące na programy, projekty lub zadania finansowane z udziałem środków, o których mowa w art. 5 ust. 1 pkt 2 i 3 ustawy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9.1.1</w:t>
            </w:r>
          </w:p>
        </w:tc>
        <w:tc>
          <w:tcPr>
            <w:tcW w:w="58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6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Dotacje i środki o charakterze bieżącym na realizację programu, projektu lub zadania finansowanego z udziałem środków, o których mowa w art. 5 ust. 1 pkt 2 ustawy</w:t>
            </w:r>
            <w:r>
              <w:rPr>
                <w:sz w:val="14"/>
                <w:vertAlign w:val="superscript"/>
              </w:rPr>
              <w:t>X</w:t>
            </w:r>
            <w:r>
              <w:rPr>
                <w:sz w:val="14"/>
              </w:rPr>
              <w:t>, w tym: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9.1.1.1</w:t>
            </w:r>
          </w:p>
        </w:tc>
        <w:tc>
          <w:tcPr>
            <w:tcW w:w="58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środki określone w art. 5 ust. 1 pkt 2 ustawy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9.2</w:t>
            </w:r>
          </w:p>
        </w:tc>
        <w:tc>
          <w:tcPr>
            <w:tcW w:w="92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Dochody majątkowe na programy, projekty lub zadania finansowane z udziałem środków, o których mowa w art. 5 ust. 1 pkt 2 i 3 ustawy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2 400 000,00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9.2.1</w:t>
            </w:r>
          </w:p>
        </w:tc>
        <w:tc>
          <w:tcPr>
            <w:tcW w:w="58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6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Dochody majątkowe na programy, projekty lub zadania finansowane z udziałem środków, o których mowa w art. 5 ust. 1 pkt 2 ustawy, w tym: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2 400 000,00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9.2.1.1</w:t>
            </w:r>
          </w:p>
        </w:tc>
        <w:tc>
          <w:tcPr>
            <w:tcW w:w="58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środki określone w art. 5 ust. 1 pkt 2 ustawy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2 000 000,00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9.3</w:t>
            </w:r>
          </w:p>
        </w:tc>
        <w:tc>
          <w:tcPr>
            <w:tcW w:w="92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bieżące na programy, projekty lub zadania finansowane z udziałem środków, o których mowa w art. 5 ust. 1 pkt 2 i 3 ustawy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210 000,00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130 000,00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9.3.1</w:t>
            </w:r>
          </w:p>
        </w:tc>
        <w:tc>
          <w:tcPr>
            <w:tcW w:w="58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6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bieżące na programy, projekty lub zadania finansowane z udziałem środków, o których mowa w art. 5 ust. 1 pkt 2 ustawy</w:t>
            </w:r>
            <w:r>
              <w:rPr>
                <w:sz w:val="14"/>
                <w:vertAlign w:val="superscript"/>
              </w:rPr>
              <w:t>X</w:t>
            </w:r>
            <w:r>
              <w:rPr>
                <w:sz w:val="14"/>
              </w:rPr>
              <w:t>, w tym: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9.3.1.1</w:t>
            </w:r>
          </w:p>
        </w:tc>
        <w:tc>
          <w:tcPr>
            <w:tcW w:w="58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finansowane środkami określonymi w art. 5 ust. 1 pkt 2 ustawy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9.4</w:t>
            </w:r>
          </w:p>
        </w:tc>
        <w:tc>
          <w:tcPr>
            <w:tcW w:w="92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majątkowe na programy, projekty lub zadania finansowane z udziałem środków, o których mowa w art. 5 ust. 1 pkt 2 i 3 ustawy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2 830 000,00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9.4.1</w:t>
            </w:r>
          </w:p>
        </w:tc>
        <w:tc>
          <w:tcPr>
            <w:tcW w:w="58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6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majątkowe na programy, projekty lub zadania finansowane z udziałem środków, o których mowa w art. 5 ust. 1 pkt 2 ustawy, w tym: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2 830 000,00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9.4.1.1</w:t>
            </w:r>
          </w:p>
        </w:tc>
        <w:tc>
          <w:tcPr>
            <w:tcW w:w="58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finansowane środkami określonymi w art. 5 ust. 1 pkt 2 ustawy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2 520 000,00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151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10. Informacje uzupełniające o wybranych kategoriach finansowych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10.1</w:t>
            </w:r>
          </w:p>
        </w:tc>
        <w:tc>
          <w:tcPr>
            <w:tcW w:w="92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objęte limitem, o którym mowa w art. 226 ust. 3 pkt 4 ustawy, z tego: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7 122 000,00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4 202 000,00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4 644 000,00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2 746 000,00</w:t>
            </w:r>
          </w:p>
        </w:tc>
        <w:tc>
          <w:tcPr>
            <w:tcW w:w="2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2 860 000,00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10.1.1</w:t>
            </w:r>
          </w:p>
        </w:tc>
        <w:tc>
          <w:tcPr>
            <w:tcW w:w="58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6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bieżące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2 720 000,00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2 702 000,00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2 644 000,00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2 746 000,00</w:t>
            </w:r>
          </w:p>
        </w:tc>
        <w:tc>
          <w:tcPr>
            <w:tcW w:w="2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2 860 000,00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10.1.2</w:t>
            </w:r>
          </w:p>
        </w:tc>
        <w:tc>
          <w:tcPr>
            <w:tcW w:w="58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6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majątkowe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4 402 000,00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1 500 000,00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2 000 000,00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10.2</w:t>
            </w:r>
          </w:p>
        </w:tc>
        <w:tc>
          <w:tcPr>
            <w:tcW w:w="92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bieżące na pokrycie ujemnego wyniku finansowego samodzielnego publicznego zakładu opieki zdrowotnej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10.3</w:t>
            </w:r>
          </w:p>
        </w:tc>
        <w:tc>
          <w:tcPr>
            <w:tcW w:w="92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na spłatę zobowiązań przejmowanych w związku z likwidacją lub przekształceniem samodzielnego publicznego zakładu opieki zdrowotnej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10.4</w:t>
            </w:r>
          </w:p>
        </w:tc>
        <w:tc>
          <w:tcPr>
            <w:tcW w:w="92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Kwota zobowiązań związku współtworzonego przez jednostkę samorządu terytorialnego przypadających do spłaty w danym roku budżetowym, podlegająca doliczeniu zgodnie z art. 244 ustawy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10.5</w:t>
            </w:r>
          </w:p>
        </w:tc>
        <w:tc>
          <w:tcPr>
            <w:tcW w:w="92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Kwota zobowiązań wynikających z przejęcia przez jednostkę samorządu terytorialnego zobowiązań po likwidowanych i przekształcanych samorządowych osobach prawnych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10.6</w:t>
            </w:r>
          </w:p>
        </w:tc>
        <w:tc>
          <w:tcPr>
            <w:tcW w:w="92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Spłaty, o których mowa w poz. 5.1, wynikające wyłącznie z tytułu zobowiązań już zaciągniętych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1 400 000,00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1 600 000,00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600 000,00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650 000,00</w:t>
            </w:r>
          </w:p>
        </w:tc>
        <w:tc>
          <w:tcPr>
            <w:tcW w:w="2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10.7</w:t>
            </w:r>
          </w:p>
        </w:tc>
        <w:tc>
          <w:tcPr>
            <w:tcW w:w="92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zmniejszające dług</w:t>
            </w:r>
            <w:r>
              <w:rPr>
                <w:sz w:val="14"/>
                <w:vertAlign w:val="superscript"/>
              </w:rPr>
              <w:t>X</w:t>
            </w:r>
            <w:r>
              <w:rPr>
                <w:sz w:val="14"/>
              </w:rPr>
              <w:t>, w tym: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10.7.1</w:t>
            </w:r>
          </w:p>
        </w:tc>
        <w:tc>
          <w:tcPr>
            <w:tcW w:w="58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6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spłata zobowiązań wymagalnych z lat poprzednich, innych niż w poz. 10.7.3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10.7.2</w:t>
            </w:r>
          </w:p>
        </w:tc>
        <w:tc>
          <w:tcPr>
            <w:tcW w:w="58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6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spłata zobowiązań zaliczanych do tytułu dłużnego – kredyt i pożyczka</w:t>
            </w:r>
            <w:r>
              <w:rPr>
                <w:sz w:val="14"/>
                <w:vertAlign w:val="superscript"/>
              </w:rPr>
              <w:t>X</w:t>
            </w:r>
            <w:r>
              <w:rPr>
                <w:sz w:val="14"/>
              </w:rPr>
              <w:t>, w tym: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10.7.2.1</w:t>
            </w:r>
          </w:p>
        </w:tc>
        <w:tc>
          <w:tcPr>
            <w:tcW w:w="58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zobowiązań zaciągniętych po dniu 1 stycznia 2019 r.</w:t>
            </w:r>
            <w:r>
              <w:rPr>
                <w:sz w:val="14"/>
                <w:vertAlign w:val="superscript"/>
              </w:rPr>
              <w:t>X</w:t>
            </w:r>
            <w:r>
              <w:rPr>
                <w:sz w:val="14"/>
              </w:rPr>
              <w:t>, w tym: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10.7.2.1.1</w:t>
            </w:r>
          </w:p>
        </w:tc>
        <w:tc>
          <w:tcPr>
            <w:tcW w:w="58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5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dokonywana w formie wydatku bieżącego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10.7.3</w:t>
            </w:r>
          </w:p>
        </w:tc>
        <w:tc>
          <w:tcPr>
            <w:tcW w:w="58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6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wypłaty z tytułu wymagalnych poręczeń i gwarancji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10.8</w:t>
            </w:r>
          </w:p>
        </w:tc>
        <w:tc>
          <w:tcPr>
            <w:tcW w:w="92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Kwota wzrostu(+)/spadku(−) kwoty długu wynikająca z operacji niekasowych (m.in. umorzenia, różnice kursowe)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10.9</w:t>
            </w:r>
          </w:p>
        </w:tc>
        <w:tc>
          <w:tcPr>
            <w:tcW w:w="92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Wcześniejsza spłata zobowiązań, wyłączona z limitu spłaty zobowiązań, dokonywana w formie wydatków budżetowych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2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x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10.10</w:t>
            </w:r>
          </w:p>
        </w:tc>
        <w:tc>
          <w:tcPr>
            <w:tcW w:w="92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Wykup papierów wartościowych, spłaty rat kredytów i pożyczek wraz z należnymi odsetkami i dyskontem, odpowiednio emitowanych lub zaciągniętych do równowartości kwoty ubytku w wykonanych dochodach jednostki samorządu terytorialnego będącego skutkiem wystąpienia COVID-19</w:t>
            </w:r>
            <w:r>
              <w:rPr>
                <w:sz w:val="14"/>
                <w:vertAlign w:val="superscript"/>
              </w:rPr>
              <w:t>X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10.11</w:t>
            </w:r>
          </w:p>
        </w:tc>
        <w:tc>
          <w:tcPr>
            <w:tcW w:w="92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bieżące podlegające ustawowemu wyłączeniu z limitu spłaty zobowiązań</w:t>
            </w:r>
            <w:r>
              <w:rPr>
                <w:sz w:val="14"/>
                <w:vertAlign w:val="superscript"/>
              </w:rPr>
              <w:t>9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</w:tbl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* Informacje zawarte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tej części wieloletniej prognozy finansowej,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spełnieniu relacji określonej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243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zostaną automatycznie wygenerowane przez aplikację wskazaną przez Ministra Finansów,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której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rozporządzenia, na podstawie danych historycznych oraz prognozowanych przez jednostkę samorządu terytorialnego. Automatyczne wyliczenia danych na podstawie wartości historycznych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prognozowanych przez jednostkę samorządu terytorialnego dotyczą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szczególności także pozycji 8.3–8.3.1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pozycji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sekcji 12.</w:t>
      </w:r>
    </w:p>
    <w:p w:rsidR="00A77B3E">
      <w:pPr>
        <w:keepNext/>
        <w:keepLines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x - pozycje oznaczone symbolem „x” sporządza się na okres prognozy kwoty długu,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ustawy. Okres ten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 wydłużeniu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sytuacji planowania wydatków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niewymagalnych poręczeń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gwarancji.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przypadku planowania wydatków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niewymagalnych poręczeń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gwarancji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okresie dłuższym niż okres, na który zaciągnięto oraz planuje się zaciągnąć zobowiązania dłużne, informację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wydatkach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niewymagalnych poręczeń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gwarancji, wykraczających poza wspomniany okres, należy zamieścić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objaśnieniach do wieloletniej prognozy finansowej.</w:t>
      </w:r>
    </w:p>
    <w:p w:rsidR="00A77B3E">
      <w:pPr>
        <w:keepNext/>
        <w:keepLines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86"/>
        <w:gridCol w:w="10886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6"/>
          <w:endnotePr>
            <w:numFmt w:val="decimal"/>
          </w:endnotePr>
          <w:type w:val="nextPage"/>
          <w:pgSz w:w="23811" w:h="16838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17122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XV/116/2025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Gminy Gręboszów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września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Wykaz przedsięwzięć do WPF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828"/>
        <w:gridCol w:w="2437"/>
        <w:gridCol w:w="1848"/>
        <w:gridCol w:w="661"/>
        <w:gridCol w:w="660"/>
        <w:gridCol w:w="1"/>
        <w:gridCol w:w="1727"/>
        <w:gridCol w:w="1"/>
        <w:gridCol w:w="1727"/>
        <w:gridCol w:w="1"/>
        <w:gridCol w:w="1727"/>
        <w:gridCol w:w="1"/>
        <w:gridCol w:w="1727"/>
        <w:gridCol w:w="1"/>
        <w:gridCol w:w="1727"/>
        <w:gridCol w:w="1"/>
        <w:gridCol w:w="1727"/>
        <w:gridCol w:w="1"/>
        <w:gridCol w:w="1727"/>
        <w:gridCol w:w="1"/>
        <w:gridCol w:w="1727"/>
        <w:gridCol w:w="1"/>
        <w:gridCol w:w="1728"/>
      </w:tblGrid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Lp.</w:t>
            </w:r>
          </w:p>
        </w:tc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Nazwa i cel</w:t>
            </w:r>
          </w:p>
        </w:tc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Jednostka odpowiedzialna lub koordynująca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Okres realizacji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Łącznie nakłady finansowe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Limit 2025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Limit 2026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Limit 2027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Limit 2028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Limit 2029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Limit 2030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Limit 2031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Limit zobowiązań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od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do</w:t>
            </w:r>
          </w:p>
        </w:tc>
        <w:tc>
          <w:tcPr>
            <w:tcW w:w="1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839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Wydatki na przedsięwzięcia-ogółem (1.1+1.2+1.3)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48 377 000,00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17 016 000,00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9 644 000,00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7 122 000,00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4 202 000,00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4 644 000,00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2 746 000,00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2 860 000,00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48 377 000,00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1.a</w:t>
            </w:r>
          </w:p>
        </w:tc>
        <w:tc>
          <w:tcPr>
            <w:tcW w:w="5839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- wydatki bieżące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18 609 000,00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2 178 000,00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2 759 000,00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2 720 000,00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2 702 000,00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2 644 000,00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2 746 000,00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2 860 000,00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18 609 000,00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1.b</w:t>
            </w:r>
          </w:p>
        </w:tc>
        <w:tc>
          <w:tcPr>
            <w:tcW w:w="5839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- wydatki majątkowe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29 768 000,00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14 838 000,00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6 885 000,00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4 402 000,00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1 500 000,00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2 000 000,00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29 768 000,00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1.1</w:t>
            </w:r>
          </w:p>
        </w:tc>
        <w:tc>
          <w:tcPr>
            <w:tcW w:w="5839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Wydatki na programy, projekty lub zadania związane z programami realizowanymi z udziałem środków, o których mowa w art.5 ust.1 pkt 2 i 3 ustawy z dnia 27 sierpnia 2009.r. o finansach publicznych (Dz.U. z 2017 r. poz. 2077, z późn.zm.), z tego: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8 400 000,00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250 000,00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4 980 000,00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3 040 000,00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130 000,00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8 400 000,00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1.1.1</w:t>
            </w:r>
          </w:p>
        </w:tc>
        <w:tc>
          <w:tcPr>
            <w:tcW w:w="5839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- wydatki bieżące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680 000,00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340 000,00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210 000,00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130 000,00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680 000,00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1.1.1.1</w:t>
            </w:r>
          </w:p>
        </w:tc>
        <w:tc>
          <w:tcPr>
            <w:tcW w:w="253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 xml:space="preserve">Rozbudowa, przebudowa i doposażenie Punktu Selektywnej Zbiórki Odpadów Komunalnych w Gręboszowie - </w:t>
            </w:r>
          </w:p>
        </w:tc>
        <w:tc>
          <w:tcPr>
            <w:tcW w:w="19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Urząd Gminy Gręboszów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2027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100 000,00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100 000,00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1.1.1.2</w:t>
            </w:r>
          </w:p>
        </w:tc>
        <w:tc>
          <w:tcPr>
            <w:tcW w:w="253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 xml:space="preserve">Wdrażanie Programu ochrony powietrza w Gminie Gręboszów - Projekt związany z zatrudnieniem ekodoradcy, - </w:t>
            </w:r>
          </w:p>
        </w:tc>
        <w:tc>
          <w:tcPr>
            <w:tcW w:w="19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GRĘBOSZÓW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2028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580 000,00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240 000,00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210 000,00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130 000,00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580 000,00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1.1.2</w:t>
            </w:r>
          </w:p>
        </w:tc>
        <w:tc>
          <w:tcPr>
            <w:tcW w:w="5839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- wydatki majątkowe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7 720 000,00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250 000,00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4 640 000,00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2 830 000,00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7 720 000,00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1.1.2.1</w:t>
            </w:r>
          </w:p>
        </w:tc>
        <w:tc>
          <w:tcPr>
            <w:tcW w:w="253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Realizacja zadania "Cyberbezpieczny samorząd" - Podniesienie poziomu cyberbezpieczeństwa jednostek gminnych</w:t>
            </w:r>
          </w:p>
        </w:tc>
        <w:tc>
          <w:tcPr>
            <w:tcW w:w="19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Urząd Gminy Gręboszów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260 000,00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250 000,00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260 000,00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1.1.2.2</w:t>
            </w:r>
          </w:p>
        </w:tc>
        <w:tc>
          <w:tcPr>
            <w:tcW w:w="253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 xml:space="preserve">Rozbudowa, przebudowa i doposażenie Punktu Selektywnej Zbiórki Odpadów Komunalnych w Gręboszowie - </w:t>
            </w:r>
          </w:p>
        </w:tc>
        <w:tc>
          <w:tcPr>
            <w:tcW w:w="19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Urząd Gminy Gręboszów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2027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1 120 000,00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1 100 000,00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1 120 000,00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1.1.2.3</w:t>
            </w:r>
          </w:p>
        </w:tc>
        <w:tc>
          <w:tcPr>
            <w:tcW w:w="253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Zagospodarowanie centrum miejscowości Gręboszów - Stworzenie warunków do wzmocnienia integracji społecznej mieszkańców</w:t>
            </w:r>
          </w:p>
        </w:tc>
        <w:tc>
          <w:tcPr>
            <w:tcW w:w="19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Urząd Gminy Gręboszów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2027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540 000,00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530 000,00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540 000,00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1.1.2.4</w:t>
            </w:r>
          </w:p>
        </w:tc>
        <w:tc>
          <w:tcPr>
            <w:tcW w:w="253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Działania inwestycyjne w zakresie budowy infrastruktury Klastra Energii Energetyczne Powiśle - Odnawialne Źródła Energii - Budowa instalacji fotowoltaicznych oraz zakup i montaż magazynów energii</w:t>
            </w:r>
          </w:p>
        </w:tc>
        <w:tc>
          <w:tcPr>
            <w:tcW w:w="19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Urząd Gminy Gręboszów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2027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5 800 000,00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3 000 000,00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2 800 000,00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5 800 000,00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1.2</w:t>
            </w:r>
          </w:p>
        </w:tc>
        <w:tc>
          <w:tcPr>
            <w:tcW w:w="5839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Wydatki na programy, projekty lub zadania związane z umowami partnerstwa publiczno-prywatnego, z tego: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1.2.1</w:t>
            </w:r>
          </w:p>
        </w:tc>
        <w:tc>
          <w:tcPr>
            <w:tcW w:w="5839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- wydatki bieżące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1.2.2</w:t>
            </w:r>
          </w:p>
        </w:tc>
        <w:tc>
          <w:tcPr>
            <w:tcW w:w="5839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- wydatki majątkowe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1.3</w:t>
            </w:r>
          </w:p>
        </w:tc>
        <w:tc>
          <w:tcPr>
            <w:tcW w:w="5839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Wydatki na programy, projekty lub zadania pozostałe (inne niż wymienione w pkt 1.1 i 1.2), z tego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39 977 000,00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16 766 000,00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4 664 000,00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4 082 000,00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4 072 000,00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4 644 000,00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2 746 000,00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2 860 000,00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39 977 000,00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1.3.1</w:t>
            </w:r>
          </w:p>
        </w:tc>
        <w:tc>
          <w:tcPr>
            <w:tcW w:w="5839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- wydatki bieżące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17 929 000,00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2 178 000,00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2 419 000,00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2 510 000,00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2 572 000,00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2 644 000,00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2 746 000,00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2 860 000,00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17 929 000,00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1.3.1.1</w:t>
            </w:r>
          </w:p>
        </w:tc>
        <w:tc>
          <w:tcPr>
            <w:tcW w:w="253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 xml:space="preserve">Licencje i programy komputerowe - </w:t>
            </w:r>
          </w:p>
        </w:tc>
        <w:tc>
          <w:tcPr>
            <w:tcW w:w="19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GRĘBOSZÓW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2031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910 000,00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100 000,00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110 000,00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120 000,00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130 000,00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140 000,00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150 000,00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160 000,00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910 000,00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1.3.1.2</w:t>
            </w:r>
          </w:p>
        </w:tc>
        <w:tc>
          <w:tcPr>
            <w:tcW w:w="253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Finansowanie utrzymania mieszkańców gminy w Domach Pomocy Społecznej - Finansowanie pobytu mieszkańców z terenu Gminy Gręboszów w DPS-ach</w:t>
            </w:r>
          </w:p>
        </w:tc>
        <w:tc>
          <w:tcPr>
            <w:tcW w:w="19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Gminny Ośrodek Pomocy Społecznej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2031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5 060 000,00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660 000,00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700 000,00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720 000,00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730 000,00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740 000,00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750 000,00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760 000,00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5 060 000,00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1.3.1.3</w:t>
            </w:r>
          </w:p>
        </w:tc>
        <w:tc>
          <w:tcPr>
            <w:tcW w:w="253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 xml:space="preserve">Obsługa bankowa budżetu Gminy Gręboszów na podstawie art. 264 uofp - </w:t>
            </w:r>
          </w:p>
        </w:tc>
        <w:tc>
          <w:tcPr>
            <w:tcW w:w="19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Urząd Gminy Gręboszów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2031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159 000,00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18 000,00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19 000,00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22 000,00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24 000,00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26 000,00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30 000,00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159 000,00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1.3.1.4</w:t>
            </w:r>
          </w:p>
        </w:tc>
        <w:tc>
          <w:tcPr>
            <w:tcW w:w="253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 xml:space="preserve">Oświetlenie placów ulic i dróg: dostawa energii do budynków i budowli stanowiących mienie gminne - Realizacja zadań własnych jst - </w:t>
            </w:r>
          </w:p>
        </w:tc>
        <w:tc>
          <w:tcPr>
            <w:tcW w:w="19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Urząd Gminy Gręboszów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2031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2 680 000,00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300 000,00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350 000,00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370 000,00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390 000,00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400 000,00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420 000,00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450 000,00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2 680 000,00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1.3.1.5</w:t>
            </w:r>
          </w:p>
        </w:tc>
        <w:tc>
          <w:tcPr>
            <w:tcW w:w="253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Wywóz odpadów komunalnych z terenu Gminy Gręboszów - Wywóż śmieci</w:t>
            </w:r>
          </w:p>
        </w:tc>
        <w:tc>
          <w:tcPr>
            <w:tcW w:w="19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GRĘBOSZÓW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2031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5 950 000,00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700 000,00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830 000,00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840 000,00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850 000,00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880 000,00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900 000,00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950 000,00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5 950 000,00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1.3.1.6</w:t>
            </w:r>
          </w:p>
        </w:tc>
        <w:tc>
          <w:tcPr>
            <w:tcW w:w="253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 xml:space="preserve">Zimowe utrzymanie dróg publicznych - </w:t>
            </w:r>
          </w:p>
        </w:tc>
        <w:tc>
          <w:tcPr>
            <w:tcW w:w="19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Urząd Gminy Gręboszów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2031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3 170 000,00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400 000,00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410 000,00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440 000,00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450 000,00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460 000,00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500 000,00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510 000,00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3 170 000,00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1.3.2</w:t>
            </w:r>
          </w:p>
        </w:tc>
        <w:tc>
          <w:tcPr>
            <w:tcW w:w="5839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- wydatki majątkowe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22 048 000,00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14 588 000,00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2 245 000,00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1 572 000,00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1 500 000,00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2 000 000,00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22 048 000,00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1.3.2.1</w:t>
            </w:r>
          </w:p>
        </w:tc>
        <w:tc>
          <w:tcPr>
            <w:tcW w:w="253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 xml:space="preserve">Budowa budynku szatni sportowej z zapleczem sanitarnym przy boisku w miejscowości Ujście Jezuickie - </w:t>
            </w:r>
          </w:p>
        </w:tc>
        <w:tc>
          <w:tcPr>
            <w:tcW w:w="19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Urząd Gminy Gręboszów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1 300 000,00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1 157 000,00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1 300 000,00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1.3.2.2</w:t>
            </w:r>
          </w:p>
        </w:tc>
        <w:tc>
          <w:tcPr>
            <w:tcW w:w="253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 xml:space="preserve">Budowa publicznego przedszkola ze żłobkiem wraz z instalacjami infrastruktury technicznej w miejscowości Gręboszów - Budowa przedszkola publicznego wraz ze żłobkiem </w:t>
            </w:r>
          </w:p>
        </w:tc>
        <w:tc>
          <w:tcPr>
            <w:tcW w:w="19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Urząd Gminy Gręboszów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9 231 000,00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9 231 000,00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9 231 000,00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1.3.2.3</w:t>
            </w:r>
          </w:p>
        </w:tc>
        <w:tc>
          <w:tcPr>
            <w:tcW w:w="253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 xml:space="preserve">Zagospodarowanie terenu przy publicznym przedszkolu ze żłobkiem w miejscowości Gręboszów - </w:t>
            </w:r>
          </w:p>
        </w:tc>
        <w:tc>
          <w:tcPr>
            <w:tcW w:w="19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GRĘBOSZÓW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3 000 000,00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3 000 000,00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3 000 000,00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1.3.2.4</w:t>
            </w:r>
          </w:p>
        </w:tc>
        <w:tc>
          <w:tcPr>
            <w:tcW w:w="253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 xml:space="preserve">Przebudowa kanału Hubenickiego na terenie Gminy Gręboszów - </w:t>
            </w:r>
          </w:p>
        </w:tc>
        <w:tc>
          <w:tcPr>
            <w:tcW w:w="19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GRĘBOSZÓW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2029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7 200 000,00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1 200 000,00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1 000 000,00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1 500 000,00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1 500 000,00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2 000 000,00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7 200 000,00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1.3.2.5</w:t>
            </w:r>
          </w:p>
        </w:tc>
        <w:tc>
          <w:tcPr>
            <w:tcW w:w="253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 xml:space="preserve">Zakup średniego samochodu ratowniczo-gaśniczego w ramach projektu „Bezpieczna Małopolska - Bon na ratowanie - Straż pożarna” - </w:t>
            </w:r>
          </w:p>
        </w:tc>
        <w:tc>
          <w:tcPr>
            <w:tcW w:w="19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Urząd Gminy Gręboszów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2027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1 100 000,00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1 038 000,00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62 000,00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1 100 000,00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1.3.2.6</w:t>
            </w:r>
          </w:p>
        </w:tc>
        <w:tc>
          <w:tcPr>
            <w:tcW w:w="253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 xml:space="preserve">Rozbudowa DW 973 na terenie gminy Gręboszów - </w:t>
            </w:r>
          </w:p>
        </w:tc>
        <w:tc>
          <w:tcPr>
            <w:tcW w:w="19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Urząd Gminy Gręboszów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2027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217 000,00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207 000,00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10 000,00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217 000,00</w:t>
            </w:r>
          </w:p>
        </w:tc>
      </w:tr>
    </w:tbl>
    <w:p w:rsidR="00A77B3E">
      <w:pPr>
        <w:keepNext/>
        <w:keepLines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</w:p>
    <w:p w:rsidR="00A77B3E">
      <w:pPr>
        <w:keepNext/>
        <w:keepLines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86"/>
        <w:gridCol w:w="10886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7"/>
          <w:endnotePr>
            <w:numFmt w:val="decimal"/>
          </w:endnotePr>
          <w:type w:val="nextPage"/>
          <w:pgSz w:w="23811" w:h="16838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>
      <w:pPr>
        <w:keepNext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360" w:lineRule="auto"/>
        <w:ind w:left="4535" w:right="0" w:firstLine="0"/>
        <w:contextualSpacing w:val="0"/>
        <w:jc w:val="left"/>
        <w:rPr>
          <w:szCs w:val="20"/>
        </w:rPr>
      </w:pPr>
      <w:r>
        <w:rPr>
          <w:szCs w:val="20"/>
        </w:rPr>
        <w:t xml:space="preserve">Załącznik nr </w:t>
      </w:r>
      <w:r>
        <w:rPr>
          <w:szCs w:val="20"/>
        </w:rPr>
        <w:t>3</w:t>
      </w:r>
      <w:r>
        <w:rPr>
          <w:szCs w:val="20"/>
        </w:rPr>
        <w:t> do uchwały nr XV/116/2025</w:t>
        <w:br/>
        <w:t>Rady Gminy Gręboszów</w:t>
        <w:br/>
        <w:t>z dnia 11 września 2025 r.</w:t>
      </w:r>
    </w:p>
    <w:p>
      <w:pPr>
        <w:keepNext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360" w:lineRule="auto"/>
        <w:ind w:left="4535" w:right="0" w:firstLine="0"/>
        <w:contextualSpacing w:val="0"/>
        <w:jc w:val="left"/>
        <w:rPr>
          <w:szCs w:val="20"/>
        </w:rPr>
      </w:pPr>
    </w:p>
    <w:p>
      <w:pPr>
        <w:keepNext/>
        <w:keepLines w:val="0"/>
        <w:widowControl/>
        <w:suppressLineNumbers w:val="0"/>
        <w:shd w:val="clear" w:color="auto" w:fill="auto"/>
        <w:suppressAutoHyphens w:val="0"/>
        <w:spacing w:before="0" w:beforeAutospacing="0" w:after="480" w:afterAutospacing="0" w:line="240" w:lineRule="auto"/>
        <w:ind w:left="0" w:right="0" w:firstLine="0"/>
        <w:contextualSpacing w:val="0"/>
        <w:jc w:val="center"/>
        <w:rPr>
          <w:szCs w:val="20"/>
        </w:rPr>
      </w:pPr>
      <w:r>
        <w:rPr>
          <w:b/>
          <w:szCs w:val="20"/>
        </w:rPr>
        <w:t>Objaśnienia przyjętych wartości do Wieloletniej Prognozy Finansowej Gminy Gręboszów na lata 2025-2031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szCs w:val="20"/>
        </w:rPr>
      </w:pPr>
      <w:r>
        <w:rPr>
          <w:szCs w:val="20"/>
        </w:rPr>
        <w:t>Zgodnie ze zmianami w budżecie na dzień 11 września 2025 r., dokonano następujących zmian w Wieloletniej Prognozie Finansowej Gminy Gręboszów: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szCs w:val="20"/>
        </w:rPr>
      </w:pPr>
      <w:r>
        <w:rPr>
          <w:szCs w:val="20"/>
        </w:rPr>
        <w:t>1</w:t>
      </w:r>
      <w:r>
        <w:rPr>
          <w:szCs w:val="20"/>
        </w:rPr>
        <w:t>)</w:t>
      </w:r>
      <w:r>
        <w:rPr>
          <w:szCs w:val="20"/>
        </w:rPr>
        <w:t> </w:t>
      </w:r>
      <w:r>
        <w:rPr>
          <w:szCs w:val="20"/>
        </w:rPr>
        <w:t>d</w:t>
      </w:r>
      <w:r>
        <w:rPr>
          <w:szCs w:val="20"/>
        </w:rPr>
        <w:t>ochody ogółem zwiększono o 211 680,27 zł, z czego dochody bieżące zwiększono o 314 270,27 zł, a dochody majątkowe zmniejszono o 102 590,00 zł</w:t>
      </w:r>
      <w:r>
        <w:rPr>
          <w:szCs w:val="20"/>
        </w:rPr>
        <w:t>;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szCs w:val="20"/>
        </w:rPr>
      </w:pPr>
      <w:r>
        <w:rPr>
          <w:szCs w:val="20"/>
        </w:rPr>
        <w:t>2</w:t>
      </w:r>
      <w:r>
        <w:rPr>
          <w:szCs w:val="20"/>
        </w:rPr>
        <w:t>)</w:t>
      </w:r>
      <w:r>
        <w:rPr>
          <w:szCs w:val="20"/>
        </w:rPr>
        <w:t> </w:t>
      </w:r>
      <w:r>
        <w:rPr>
          <w:szCs w:val="20"/>
        </w:rPr>
        <w:t>w</w:t>
      </w:r>
      <w:r>
        <w:rPr>
          <w:szCs w:val="20"/>
        </w:rPr>
        <w:t>ydatki ogółem zwiększono o 211 680,27 zł, z czego wydatki bieżące zwiększono o 733 426,04 zł, a wydatki majątkowe zmniejszono o 521 745,77 zł</w:t>
      </w:r>
      <w:r>
        <w:rPr>
          <w:szCs w:val="20"/>
        </w:rPr>
        <w:t>;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szCs w:val="20"/>
        </w:rPr>
      </w:pPr>
      <w:r>
        <w:rPr>
          <w:szCs w:val="20"/>
        </w:rPr>
        <w:t>3</w:t>
      </w:r>
      <w:r>
        <w:rPr>
          <w:szCs w:val="20"/>
        </w:rPr>
        <w:t>)</w:t>
      </w:r>
      <w:r>
        <w:rPr>
          <w:szCs w:val="20"/>
        </w:rPr>
        <w:t> </w:t>
      </w:r>
      <w:r>
        <w:rPr>
          <w:szCs w:val="20"/>
        </w:rPr>
        <w:t>w</w:t>
      </w:r>
      <w:r>
        <w:rPr>
          <w:szCs w:val="20"/>
        </w:rPr>
        <w:t>ynik budżetu nie uległ zmianie.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szCs w:val="20"/>
        </w:rPr>
      </w:pPr>
      <w:r>
        <w:rPr>
          <w:szCs w:val="20"/>
        </w:rPr>
        <w:t>Szczegółowe informacje na temat zmian w zakresie dochodów, wydatków i wyniku budżetu w roku budżetowym przedstawiono w tabeli poniżej.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b/>
          <w:szCs w:val="20"/>
        </w:rPr>
        <w:t>Zmiany w dochodach i wydatkach w 2025 roku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2520"/>
        <w:gridCol w:w="2520"/>
        <w:gridCol w:w="2521"/>
        <w:gridCol w:w="2521"/>
      </w:tblGrid>
      <w:tr>
        <w:tblPrEx>
          <w:tblW w:w="5000" w:type="pct"/>
          <w:tblLayout w:type="fixed"/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Wyszczególnienie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Przed zmianą [zł]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Zmiana [zł]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Po zmianie [zł]</w:t>
            </w:r>
          </w:p>
        </w:tc>
      </w:tr>
      <w:tr>
        <w:tblPrEx>
          <w:tblW w:w="5000" w:type="pct"/>
          <w:tblLayout w:type="fixed"/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Dochody ogółem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37 351 242,32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+211 680,27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37 562 922,59</w:t>
            </w:r>
          </w:p>
        </w:tc>
      </w:tr>
      <w:tr>
        <w:tblPrEx>
          <w:tblW w:w="5000" w:type="pct"/>
          <w:tblLayout w:type="fixed"/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Dochody bieżące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21 091 959,90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+314 270,27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21 406 230,17</w:t>
            </w:r>
          </w:p>
        </w:tc>
      </w:tr>
      <w:tr>
        <w:tblPrEx>
          <w:tblW w:w="5000" w:type="pct"/>
          <w:tblLayout w:type="fixed"/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Dotacje bieżące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2 025 086,25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+306 617,85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2 331 704,10</w:t>
            </w:r>
          </w:p>
        </w:tc>
      </w:tr>
      <w:tr>
        <w:tblPrEx>
          <w:tblW w:w="5000" w:type="pct"/>
          <w:tblLayout w:type="fixed"/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Pozostałe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9 007 086,66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+7 652,42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9 014 739,08</w:t>
            </w:r>
          </w:p>
        </w:tc>
      </w:tr>
      <w:tr>
        <w:tblPrEx>
          <w:tblW w:w="5000" w:type="pct"/>
          <w:tblLayout w:type="fixed"/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Dochody majątkowe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16 259 282,42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-102 590,00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16 156 692,42</w:t>
            </w:r>
          </w:p>
        </w:tc>
      </w:tr>
      <w:tr>
        <w:tblPrEx>
          <w:tblW w:w="5000" w:type="pct"/>
          <w:tblLayout w:type="fixed"/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Wydatki ogółem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37 271 661,35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+211 680,27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37 483 341,62</w:t>
            </w:r>
          </w:p>
        </w:tc>
      </w:tr>
      <w:tr>
        <w:tblPrEx>
          <w:tblW w:w="5000" w:type="pct"/>
          <w:tblLayout w:type="fixed"/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Wydatki bieżące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19 328 664,03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+733 426,04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20 062 090,07</w:t>
            </w:r>
          </w:p>
        </w:tc>
      </w:tr>
      <w:tr>
        <w:tblPrEx>
          <w:tblW w:w="5000" w:type="pct"/>
          <w:tblLayout w:type="fixed"/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Wynagrodzenia i pochodne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9 690 330,63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+137 996,18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9 828 326,81</w:t>
            </w:r>
          </w:p>
        </w:tc>
      </w:tr>
      <w:tr>
        <w:tblPrEx>
          <w:tblW w:w="5000" w:type="pct"/>
          <w:tblLayout w:type="fixed"/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Obsługa długu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355 000,00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+117 100,00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472 100,00</w:t>
            </w:r>
          </w:p>
        </w:tc>
      </w:tr>
      <w:tr>
        <w:tblPrEx>
          <w:tblW w:w="5000" w:type="pct"/>
          <w:tblLayout w:type="fixed"/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Pozostałe wydatki bieżące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9 283 333,40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+478 329,86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9 761 663,26</w:t>
            </w:r>
          </w:p>
        </w:tc>
      </w:tr>
      <w:tr>
        <w:tblPrEx>
          <w:tblW w:w="5000" w:type="pct"/>
          <w:tblLayout w:type="fixed"/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Wydatki majątkowe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17 942 997,32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-521 745,77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17 421 251,55</w:t>
            </w:r>
          </w:p>
        </w:tc>
      </w:tr>
    </w:tbl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Źródło: opracowanie własne.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okresie prognozy WPF dokonano zmian w zakresie planowanych dochodów majątkowych. Zmiany przedstawiono w tabeli poniżej.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Zmiany w dochodach majątkowych w okresie prognozy WPF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2520"/>
        <w:gridCol w:w="2520"/>
        <w:gridCol w:w="2521"/>
        <w:gridCol w:w="2521"/>
      </w:tblGrid>
      <w:tr>
        <w:tblPrEx>
          <w:tblW w:w="5000" w:type="pct"/>
          <w:tblLayout w:type="fixed"/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Rok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Przed zmianą [zł]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Zmiana [zł]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Po zmianie [zł]</w:t>
            </w:r>
          </w:p>
        </w:tc>
      </w:tr>
      <w:tr>
        <w:tblPrEx>
          <w:tblW w:w="5000" w:type="pct"/>
          <w:tblLayout w:type="fixed"/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10 217 679,00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-100 000,00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10 117 679,00</w:t>
            </w:r>
          </w:p>
        </w:tc>
      </w:tr>
      <w:tr>
        <w:tblPrEx>
          <w:tblW w:w="5000" w:type="pct"/>
          <w:tblLayout w:type="fixed"/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700 000,00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+1 700 000,00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2 400 000,00</w:t>
            </w:r>
          </w:p>
        </w:tc>
      </w:tr>
    </w:tbl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Źródło: opracowanie własne.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Zmiany w wydatkach majątkowych w okresie prognozy WPF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2520"/>
        <w:gridCol w:w="2520"/>
        <w:gridCol w:w="2521"/>
        <w:gridCol w:w="2521"/>
      </w:tblGrid>
      <w:tr>
        <w:tblPrEx>
          <w:tblW w:w="5000" w:type="pct"/>
          <w:tblLayout w:type="fixed"/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Rok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Przed zmianą [zł]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Zmiana [zł]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Po zmianie [zł]</w:t>
            </w:r>
          </w:p>
        </w:tc>
      </w:tr>
      <w:tr>
        <w:tblPrEx>
          <w:tblW w:w="5000" w:type="pct"/>
          <w:tblLayout w:type="fixed"/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13 167 085,00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-100 000,00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13 067 085,00</w:t>
            </w:r>
          </w:p>
        </w:tc>
      </w:tr>
      <w:tr>
        <w:tblPrEx>
          <w:tblW w:w="5000" w:type="pct"/>
          <w:tblLayout w:type="fixed"/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2 742 630,00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+2 100 000,00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4 842 630,00</w:t>
            </w:r>
          </w:p>
        </w:tc>
      </w:tr>
      <w:tr>
        <w:tblPrEx>
          <w:tblW w:w="5000" w:type="pct"/>
          <w:tblLayout w:type="fixed"/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2 009 762,00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+600 000,00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2 609 762,00</w:t>
            </w:r>
          </w:p>
        </w:tc>
      </w:tr>
      <w:tr>
        <w:tblPrEx>
          <w:tblW w:w="5000" w:type="pct"/>
          <w:tblLayout w:type="fixed"/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2029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3 090 473,00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-400 000,00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2 690 473,00</w:t>
            </w:r>
          </w:p>
        </w:tc>
      </w:tr>
      <w:tr>
        <w:tblPrEx>
          <w:tblW w:w="5000" w:type="pct"/>
          <w:tblLayout w:type="fixed"/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2030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3 191 460,00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-350 000,00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2 841 460,00</w:t>
            </w:r>
          </w:p>
        </w:tc>
      </w:tr>
      <w:tr>
        <w:tblPrEx>
          <w:tblW w:w="5000" w:type="pct"/>
          <w:tblLayout w:type="fixed"/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2031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3 345 216,00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-250 000,00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3 095 216,00</w:t>
            </w:r>
          </w:p>
        </w:tc>
      </w:tr>
    </w:tbl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Źródło: opracowanie własne.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Dodatkowo, w okresie prognozy WPF dokonano aktualizacji wydatków na obsługę długu, co przedstawiono w tabeli poniżej.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Zmiany w wydatkach na obsługę długu w okresie prognozy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2520"/>
        <w:gridCol w:w="2520"/>
        <w:gridCol w:w="2521"/>
        <w:gridCol w:w="2521"/>
      </w:tblGrid>
      <w:tr>
        <w:tblPrEx>
          <w:tblW w:w="5000" w:type="pct"/>
          <w:tblLayout w:type="fixed"/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Rok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Przed zmianą [zł]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Zmiana [zł]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Po zmianie [zł]</w:t>
            </w:r>
          </w:p>
        </w:tc>
      </w:tr>
      <w:tr>
        <w:tblPrEx>
          <w:tblW w:w="5000" w:type="pct"/>
          <w:tblLayout w:type="fixed"/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295 425,00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-42 425,00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253 000,00</w:t>
            </w:r>
          </w:p>
        </w:tc>
      </w:tr>
      <w:tr>
        <w:tblPrEx>
          <w:tblW w:w="5000" w:type="pct"/>
          <w:tblLayout w:type="fixed"/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211 325,00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-3 325,00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208 000,00</w:t>
            </w:r>
          </w:p>
        </w:tc>
      </w:tr>
      <w:tr>
        <w:tblPrEx>
          <w:tblW w:w="5000" w:type="pct"/>
          <w:tblLayout w:type="fixed"/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128 525,00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-8 525,00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120 000,00</w:t>
            </w:r>
          </w:p>
        </w:tc>
      </w:tr>
      <w:tr>
        <w:tblPrEx>
          <w:tblW w:w="5000" w:type="pct"/>
          <w:tblLayout w:type="fixed"/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2029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72 862,00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-1 862,00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71 000,00</w:t>
            </w:r>
          </w:p>
        </w:tc>
      </w:tr>
      <w:tr>
        <w:tblPrEx>
          <w:tblW w:w="5000" w:type="pct"/>
          <w:tblLayout w:type="fixed"/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2030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39 462,00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-1 462,00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38 000,00</w:t>
            </w:r>
          </w:p>
        </w:tc>
      </w:tr>
      <w:tr>
        <w:tblPrEx>
          <w:tblW w:w="5000" w:type="pct"/>
          <w:tblLayout w:type="fixed"/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2031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12 250,00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-250,00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12 000,00</w:t>
            </w:r>
          </w:p>
        </w:tc>
      </w:tr>
    </w:tbl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Źródło: opracowanie własne.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Wieloletniej Prognozie Finansowej Gminy Gręboszów: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</w:t>
      </w:r>
      <w:r>
        <w:rPr>
          <w:color w:val="000000"/>
          <w:szCs w:val="20"/>
          <w:u w:color="000000"/>
        </w:rPr>
        <w:t>)</w:t>
      </w:r>
      <w:r>
        <w:rPr>
          <w:color w:val="000000"/>
          <w:szCs w:val="20"/>
          <w:u w:color="000000"/>
        </w:rPr>
        <w:t> </w:t>
      </w:r>
      <w:r>
        <w:rPr>
          <w:color w:val="000000"/>
          <w:szCs w:val="20"/>
          <w:u w:color="000000"/>
        </w:rPr>
        <w:t>p</w:t>
      </w:r>
      <w:r>
        <w:rPr>
          <w:color w:val="000000"/>
          <w:szCs w:val="20"/>
          <w:u w:color="000000"/>
        </w:rPr>
        <w:t>rzychody ogółem w roku budżetowym zwiększono o 6 000 000,00 zł, w tym przychody z tytułu kredytów, pożyczek lub emisji papierów wartościowych zwiększono o 6 000 000,00 zł</w:t>
      </w:r>
      <w:r>
        <w:rPr>
          <w:color w:val="000000"/>
          <w:szCs w:val="20"/>
          <w:u w:color="000000"/>
        </w:rPr>
        <w:t>;</w:t>
      </w:r>
      <w:r>
        <w:rPr>
          <w:color w:val="000000"/>
          <w:szCs w:val="20"/>
          <w:u w:color="000000"/>
        </w:rPr>
        <w:t xml:space="preserve"> </w:t>
      </w:r>
      <w:r>
        <w:rPr>
          <w:color w:val="000000"/>
          <w:szCs w:val="20"/>
          <w:u w:color="000000"/>
        </w:rPr>
        <w:t>s</w:t>
      </w:r>
      <w:r>
        <w:rPr>
          <w:color w:val="000000"/>
          <w:szCs w:val="20"/>
          <w:u w:color="000000"/>
        </w:rPr>
        <w:t>ą to przychody jednostek samorządu terytorialnego z tytułu zaciągniętych pożyczek i kredytów oraz wyemitowanych papierów wartościowych na spłatę wcześniej zaciągniętych zobowiązań</w:t>
      </w:r>
      <w:r>
        <w:rPr>
          <w:color w:val="000000"/>
          <w:szCs w:val="20"/>
          <w:u w:color="000000"/>
        </w:rPr>
        <w:t>;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2</w:t>
      </w:r>
      <w:r>
        <w:rPr>
          <w:color w:val="000000"/>
          <w:szCs w:val="20"/>
          <w:u w:color="000000"/>
        </w:rPr>
        <w:t>)</w:t>
      </w:r>
      <w:r>
        <w:rPr>
          <w:color w:val="000000"/>
          <w:szCs w:val="20"/>
          <w:u w:color="000000"/>
        </w:rPr>
        <w:t> </w:t>
      </w:r>
      <w:r>
        <w:rPr>
          <w:color w:val="000000"/>
          <w:szCs w:val="20"/>
          <w:u w:color="000000"/>
        </w:rPr>
        <w:t>r</w:t>
      </w:r>
      <w:r>
        <w:rPr>
          <w:color w:val="000000"/>
          <w:szCs w:val="20"/>
          <w:u w:color="000000"/>
        </w:rPr>
        <w:t>ozchody ogółem w roku budżetowym zwiększono o 6 000 000,00 zł, w tym z tytułu spłaty rat kapitałowych kredytów i pożyczek oraz wykupu papierów wartościowych zwiększono o 6 000 000,00 zł - wcześniejsza spłata zaciągniętego długu, zaś inne rozchody, niezwiązane ze spłatą długu, nie uległy zmianie.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Szczegółowe informacje na temat zmian w zakresie przychodów i rozchodów w roku budżetowym przedstawiono w tabeli poniżej.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Zmiany w przychodach i rozchodach na 2025 rok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2520"/>
        <w:gridCol w:w="2520"/>
        <w:gridCol w:w="2521"/>
        <w:gridCol w:w="2521"/>
      </w:tblGrid>
      <w:tr>
        <w:tblPrEx>
          <w:tblW w:w="5000" w:type="pct"/>
          <w:tblLayout w:type="fixed"/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Wyszczególnienie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Przed zmianą [zł]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Zmiana [zł]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Po zmianie [zł]</w:t>
            </w:r>
          </w:p>
        </w:tc>
      </w:tr>
      <w:tr>
        <w:tblPrEx>
          <w:tblW w:w="5000" w:type="pct"/>
          <w:tblLayout w:type="fixed"/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Przychody budżetu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320 419,03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+6 000 000,00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6 320 419,03</w:t>
            </w:r>
          </w:p>
        </w:tc>
      </w:tr>
      <w:tr>
        <w:tblPrEx>
          <w:tblW w:w="5000" w:type="pct"/>
          <w:tblLayout w:type="fixed"/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Kredyty, pożyczki, emisja papierów wartościowych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+6 000 000,00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6 000 000,00</w:t>
            </w:r>
          </w:p>
        </w:tc>
      </w:tr>
      <w:tr>
        <w:tblPrEx>
          <w:tblW w:w="5000" w:type="pct"/>
          <w:tblLayout w:type="fixed"/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Rozchody budżetu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400 000,00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+6 000 000,00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6 400 000,00</w:t>
            </w:r>
          </w:p>
        </w:tc>
      </w:tr>
      <w:tr>
        <w:tblPrEx>
          <w:tblW w:w="5000" w:type="pct"/>
          <w:tblLayout w:type="fixed"/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Spłata rat kapitałowych i wykup obligacji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400 000,00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+6 000 000,00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6 400 000,00</w:t>
            </w:r>
          </w:p>
        </w:tc>
      </w:tr>
    </w:tbl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Źródło: opracowanie własne.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Od 2026</w:t>
      </w:r>
      <w:r>
        <w:rPr>
          <w:color w:val="000000"/>
          <w:szCs w:val="20"/>
          <w:u w:color="000000"/>
        </w:rPr>
        <w:t xml:space="preserve"> r.</w:t>
      </w:r>
      <w:r>
        <w:rPr>
          <w:color w:val="000000"/>
          <w:szCs w:val="20"/>
          <w:u w:color="000000"/>
        </w:rPr>
        <w:t> nie dokonywano zmian w zakresie planowanych przychodów.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Od 2026</w:t>
      </w:r>
      <w:r>
        <w:rPr>
          <w:color w:val="000000"/>
          <w:szCs w:val="20"/>
          <w:u w:color="000000"/>
        </w:rPr>
        <w:t xml:space="preserve"> r.</w:t>
      </w:r>
      <w:r>
        <w:rPr>
          <w:color w:val="000000"/>
          <w:szCs w:val="20"/>
          <w:u w:color="000000"/>
        </w:rPr>
        <w:t> dokonano zmian w zakresie planowanych rozchodów. Zmiany przedstawiono w tabeli poniżej.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Zmiany w rozchodach zwrotnych w okresie prognozy WPF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2520"/>
        <w:gridCol w:w="2520"/>
        <w:gridCol w:w="2521"/>
        <w:gridCol w:w="2521"/>
      </w:tblGrid>
      <w:tr>
        <w:tblPrEx>
          <w:tblW w:w="5000" w:type="pct"/>
          <w:tblLayout w:type="fixed"/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Rok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Przed zmianą [zł]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Zmiana [zł]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Po zmianie [zł]</w:t>
            </w:r>
          </w:p>
        </w:tc>
      </w:tr>
      <w:tr>
        <w:tblPrEx>
          <w:tblW w:w="5000" w:type="pct"/>
          <w:tblLayout w:type="fixed"/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1 400 000,00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-400 000,00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1 000 000,00</w:t>
            </w:r>
          </w:p>
        </w:tc>
      </w:tr>
      <w:tr>
        <w:tblPrEx>
          <w:tblW w:w="5000" w:type="pct"/>
          <w:tblLayout w:type="fixed"/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1 600 000,00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-600 000,00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1 000 000,00</w:t>
            </w:r>
          </w:p>
        </w:tc>
      </w:tr>
      <w:tr>
        <w:tblPrEx>
          <w:tblW w:w="5000" w:type="pct"/>
          <w:tblLayout w:type="fixed"/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2029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600 000,00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+400 000,00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1 000 000,00</w:t>
            </w:r>
          </w:p>
        </w:tc>
      </w:tr>
      <w:tr>
        <w:tblPrEx>
          <w:tblW w:w="5000" w:type="pct"/>
          <w:tblLayout w:type="fixed"/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2030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650 000,00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+350 000,00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1 000 000,00</w:t>
            </w:r>
          </w:p>
        </w:tc>
      </w:tr>
      <w:tr>
        <w:tblPrEx>
          <w:tblW w:w="5000" w:type="pct"/>
          <w:tblLayout w:type="fixed"/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2031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750 000,00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+250 000,00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1 000 000,00</w:t>
            </w:r>
          </w:p>
        </w:tc>
      </w:tr>
    </w:tbl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Źródło: opracowanie własne.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roku budżetowym zaplanowano środki zwrotne w wysokości 6 000 000,00 zł. Spłatę planowanego do zaciągnięcia zobowiązania ujęto w latach 2025-2031. W tabeli poniżej przedstawiono szczegółowy harmonogram spłaty zobowiązania planowanego do zaciągnięcia w okresie prognozy.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zakresie zawartych umów, rozchody Gminy Gręboszów zaplanowano zgodnie z harmonogramami. W tabeli poniżej spłatę ww. zobowiązań przedstawiono w kolumnie „Zobowiązanie historyczne”.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Spłatę zobowiązania planowanego do zaciągnięcia ujęto w latach 2025-2031. W tabeli poniżej spłatę ww. zobowiązań przedstawiono w kolumnie „Zobowiązanie planowane”.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br w:type="page"/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Spłata zaciągniętych i planowanych zobowiązań Gminy Gręboszów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2520"/>
        <w:gridCol w:w="2520"/>
        <w:gridCol w:w="2521"/>
        <w:gridCol w:w="2521"/>
      </w:tblGrid>
      <w:tr>
        <w:tblPrEx>
          <w:tblW w:w="5000" w:type="pct"/>
          <w:tblLayout w:type="fixed"/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Rok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Zobowiązanie historyczne [zł]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Zobowiązanie planowane [zł]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Zobowiązania razem [zł]</w:t>
            </w:r>
          </w:p>
        </w:tc>
      </w:tr>
      <w:tr>
        <w:tblPrEx>
          <w:tblW w:w="5000" w:type="pct"/>
          <w:tblLayout w:type="fixed"/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400 000,00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6 000 000,00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6 400 000,00</w:t>
            </w:r>
          </w:p>
        </w:tc>
      </w:tr>
      <w:tr>
        <w:tblPrEx>
          <w:tblW w:w="5000" w:type="pct"/>
          <w:tblLayout w:type="fixed"/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1 000 000,00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1 000 000,00</w:t>
            </w:r>
          </w:p>
        </w:tc>
      </w:tr>
      <w:tr>
        <w:tblPrEx>
          <w:tblW w:w="5000" w:type="pct"/>
          <w:tblLayout w:type="fixed"/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1 400 000,00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-400 000,00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1 000 000,00</w:t>
            </w:r>
          </w:p>
        </w:tc>
      </w:tr>
      <w:tr>
        <w:tblPrEx>
          <w:tblW w:w="5000" w:type="pct"/>
          <w:tblLayout w:type="fixed"/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1 600 000,00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-600 000,00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1 000 000,00</w:t>
            </w:r>
          </w:p>
        </w:tc>
      </w:tr>
      <w:tr>
        <w:tblPrEx>
          <w:tblW w:w="5000" w:type="pct"/>
          <w:tblLayout w:type="fixed"/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2029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600 000,00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400 000,00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1 000 000,00</w:t>
            </w:r>
          </w:p>
        </w:tc>
      </w:tr>
      <w:tr>
        <w:tblPrEx>
          <w:tblW w:w="5000" w:type="pct"/>
          <w:tblLayout w:type="fixed"/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2030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650 000,00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350 000,00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1 000 000,00</w:t>
            </w:r>
          </w:p>
        </w:tc>
      </w:tr>
      <w:tr>
        <w:tblPrEx>
          <w:tblW w:w="5000" w:type="pct"/>
          <w:tblLayout w:type="fixed"/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2031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750 000,00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250 000,00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1 000 000,00</w:t>
            </w:r>
          </w:p>
        </w:tc>
      </w:tr>
    </w:tbl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Źródło: Opracowanie własne.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Zmiany w Wieloletniej Prognozie Finansowej Gminy Gręboszów na lata 2025-2031 spowodowały modyfikacje w kształtowaniu się relacji z art. 243 ustawy o finansach publicznych. Szczegóły zaprezentowano w tabeli poniżej.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Kształtowanie się relacji z art. 243 ust. 1 ustawy o finansach publicznych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1681"/>
        <w:gridCol w:w="1681"/>
        <w:gridCol w:w="1680"/>
        <w:gridCol w:w="1680"/>
        <w:gridCol w:w="1680"/>
        <w:gridCol w:w="1680"/>
      </w:tblGrid>
      <w:tr>
        <w:tblPrEx>
          <w:tblW w:w="5000" w:type="pct"/>
          <w:tblLayout w:type="fixed"/>
        </w:tblPrEx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Rok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Obsługa zadłużenia (fakt. i plan. po wyłączeniach)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Maksymalna obsługa zadłużenia (wg planu po III kwartale)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Zachowanie relacji z art. 243 (w oparciu o plan po III kwartale)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Maksymalna obsługa zadłużenia (wg wykonania)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Zachowanie relacji z art. 243 (w oparciu o wykonanie)</w:t>
            </w:r>
          </w:p>
        </w:tc>
      </w:tr>
      <w:tr>
        <w:tblPrEx>
          <w:tblW w:w="5000" w:type="pct"/>
          <w:tblLayout w:type="fixed"/>
        </w:tblPrEx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4,57%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7,24%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3,99%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NIE</w:t>
            </w:r>
          </w:p>
        </w:tc>
      </w:tr>
      <w:tr>
        <w:tblPrEx>
          <w:tblW w:w="5000" w:type="pct"/>
          <w:tblLayout w:type="fixed"/>
        </w:tblPrEx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5,94%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7,42%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6,03%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TAK</w:t>
            </w:r>
          </w:p>
        </w:tc>
      </w:tr>
      <w:tr>
        <w:tblPrEx>
          <w:tblW w:w="5000" w:type="pct"/>
          <w:tblLayout w:type="fixed"/>
        </w:tblPrEx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5,72%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9,61%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8,22%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TAK</w:t>
            </w:r>
          </w:p>
        </w:tc>
      </w:tr>
      <w:tr>
        <w:tblPrEx>
          <w:tblW w:w="5000" w:type="pct"/>
          <w:tblLayout w:type="fixed"/>
        </w:tblPrEx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5,31%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10,89%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9,49%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TAK</w:t>
            </w:r>
          </w:p>
        </w:tc>
      </w:tr>
      <w:tr>
        <w:tblPrEx>
          <w:tblW w:w="5000" w:type="pct"/>
          <w:tblLayout w:type="fixed"/>
        </w:tblPrEx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2029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4,95%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12,02%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10,63%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TAK</w:t>
            </w:r>
          </w:p>
        </w:tc>
      </w:tr>
      <w:tr>
        <w:tblPrEx>
          <w:tblW w:w="5000" w:type="pct"/>
          <w:tblLayout w:type="fixed"/>
        </w:tblPrEx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2030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4,67%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12,26%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10,87%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TAK</w:t>
            </w:r>
          </w:p>
        </w:tc>
      </w:tr>
      <w:tr>
        <w:tblPrEx>
          <w:tblW w:w="5000" w:type="pct"/>
          <w:tblLayout w:type="fixed"/>
        </w:tblPrEx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2031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4,45%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13,68%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12,28%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TAK</w:t>
            </w:r>
          </w:p>
        </w:tc>
      </w:tr>
    </w:tbl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Źródło: Opracowanie własne.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Dane zawarte w tabeli wskazują, że w roku 2025 Gmina Gręboszów nie spełnia relacji z art. 243 ust. 1 ustawy o finansach publicznych po wykonaniu roku poprzedzającego. Wskazać przy tym należy, że relacja planowanej kwoty długu na koniec roku do dochodów ogółem pomniejszonych o dotacje i środki o podobnym charakterze oraz powiększonych o przychody z tytułów określonych w art. 217 ust. 2 pkt 4-8 ustawy o finansach publicznych, nieprzeznaczone na sfinansowanie deficytu budżetowego, wynosi: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27" w:right="0" w:hanging="113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 </w:t>
      </w:r>
      <w:r>
        <w:rPr>
          <w:color w:val="000000"/>
          <w:szCs w:val="20"/>
          <w:u w:color="000000"/>
        </w:rPr>
        <w:t xml:space="preserve">w </w:t>
      </w:r>
      <w:r>
        <w:rPr>
          <w:color w:val="000000"/>
          <w:szCs w:val="20"/>
          <w:u w:color="000000"/>
        </w:rPr>
        <w:t>2025 roku wyniesie 29,32%;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27" w:right="0" w:hanging="113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 </w:t>
      </w:r>
      <w:r>
        <w:rPr>
          <w:color w:val="000000"/>
          <w:szCs w:val="20"/>
          <w:u w:color="000000"/>
        </w:rPr>
        <w:t xml:space="preserve">w </w:t>
      </w:r>
      <w:r>
        <w:rPr>
          <w:color w:val="000000"/>
          <w:szCs w:val="20"/>
          <w:u w:color="000000"/>
        </w:rPr>
        <w:t>2026 roku wyniesie 23,58%;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27" w:right="0" w:hanging="113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</w:t>
      </w:r>
      <w:r>
        <w:rPr>
          <w:color w:val="000000"/>
          <w:szCs w:val="20"/>
          <w:u w:color="000000"/>
        </w:rPr>
        <w:t xml:space="preserve"> w </w:t>
      </w:r>
      <w:r>
        <w:rPr>
          <w:color w:val="000000"/>
          <w:szCs w:val="20"/>
          <w:u w:color="000000"/>
        </w:rPr>
        <w:t>2027 roku wyniesie 18,95%;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27" w:right="0" w:hanging="113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 </w:t>
      </w:r>
      <w:r>
        <w:rPr>
          <w:color w:val="000000"/>
          <w:szCs w:val="20"/>
          <w:u w:color="000000"/>
        </w:rPr>
        <w:t xml:space="preserve">w </w:t>
      </w:r>
      <w:r>
        <w:rPr>
          <w:color w:val="000000"/>
          <w:szCs w:val="20"/>
          <w:u w:color="000000"/>
        </w:rPr>
        <w:t>2028 roku wyniesie 14,22%;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27" w:right="0" w:hanging="113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 </w:t>
      </w:r>
      <w:r>
        <w:rPr>
          <w:color w:val="000000"/>
          <w:szCs w:val="20"/>
          <w:u w:color="000000"/>
        </w:rPr>
        <w:t xml:space="preserve">w </w:t>
      </w:r>
      <w:r>
        <w:rPr>
          <w:color w:val="000000"/>
          <w:szCs w:val="20"/>
          <w:u w:color="000000"/>
        </w:rPr>
        <w:t>2029 roku wyniesie 9,25%.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Zgodnie z art. 7 ust. 1 ustawy z dnia 15 września 2022 r. o zmianie ustawy o dochodach JST oraz niektórych innych ustaw, relacja ograniczająca wysokość spłaty zobowiązań jednostki samorządu terytorialnego, o której mowa w art. 243 ust. 1 ustawy o finansach publicznych, może być niezachowana w latach 2022-2029 w przypadku, gdy prognozowana łączna kwota długu jednostki samorządu terytorialnego na koniec danego roku nie przekroczy 100% planowanych dochodów ogółem pomniejszonych o dotacje i środki o podobnym charakterze oraz powiększonych o przychody z tytułów określonych w art. 217 ust. 2 pkt 4-8 ustawy o finansach publicznych. W związku z powyższym niespełnienie relacji z art. 243 ust. 1 ustawy w roku 2025 jest dopuszczalne.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Zmiana Wieloletniej Prognozy Finansowej Gminy Gręboszów obejmuje również zmiany w załączniku nr 2, które szczegółowo opisano poniżej.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Do załącznika przedsięwzięć dodano następujące przedsięwzięcia: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</w:t>
      </w:r>
      <w:r>
        <w:rPr>
          <w:color w:val="000000"/>
          <w:szCs w:val="20"/>
          <w:u w:color="000000"/>
        </w:rPr>
        <w:t>)</w:t>
      </w:r>
      <w:r>
        <w:rPr>
          <w:color w:val="000000"/>
          <w:szCs w:val="20"/>
          <w:u w:color="000000"/>
        </w:rPr>
        <w:t> </w:t>
      </w:r>
      <w:r>
        <w:rPr>
          <w:color w:val="000000"/>
          <w:szCs w:val="20"/>
          <w:u w:color="000000"/>
        </w:rPr>
        <w:t>d</w:t>
      </w:r>
      <w:r>
        <w:rPr>
          <w:color w:val="000000"/>
          <w:szCs w:val="20"/>
          <w:u w:color="000000"/>
        </w:rPr>
        <w:t>ziałania inwestycyjne w zakresie budowy infrastruktury Klastra Energii Energetyczne Powiśle - Odnawialne Źródła Energii – zadanie majątkowe, które ma być realizowane w latach 2025-2027. Łączne nakłady planowane na realizację zadania wynoszą 5 800 000,00 zł, w tym w 2025 r. ‒ 0,00 zł. Limit zobowiązań dla zadania wynosi 5 800 000,00 zł. Jednostką realizującą jest Urząd Gminy Gręboszów.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Dokonano zmian w zakresie następujących przedsięwzięć: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1. </w:t>
      </w:r>
      <w:r>
        <w:rPr>
          <w:color w:val="000000"/>
          <w:szCs w:val="20"/>
          <w:u w:color="000000"/>
        </w:rPr>
        <w:t>W zakresie programów, projektów lub zadań związanych z programami realizowanymi z udziałem środków z UE: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1) </w:t>
      </w:r>
      <w:r>
        <w:rPr>
          <w:color w:val="000000"/>
          <w:szCs w:val="20"/>
          <w:u w:color="000000"/>
        </w:rPr>
        <w:t>r</w:t>
      </w:r>
      <w:r>
        <w:rPr>
          <w:color w:val="000000"/>
          <w:szCs w:val="20"/>
          <w:u w:color="000000"/>
        </w:rPr>
        <w:t>ealizacja zadania „Cyberbezpieczny samorząd</w:t>
      </w:r>
      <w:r>
        <w:rPr>
          <w:color w:val="000000"/>
          <w:szCs w:val="20"/>
          <w:u w:color="000000"/>
        </w:rPr>
        <w:t>”</w:t>
      </w:r>
      <w:r>
        <w:rPr>
          <w:color w:val="000000"/>
          <w:szCs w:val="20"/>
          <w:u w:color="000000"/>
        </w:rPr>
        <w:t xml:space="preserve"> – zmiana w przedsięwzięciu obejmuje m.in.: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a</w:t>
      </w:r>
      <w:r>
        <w:rPr>
          <w:color w:val="000000"/>
          <w:szCs w:val="20"/>
          <w:u w:color="000000"/>
        </w:rPr>
        <w:t>)</w:t>
      </w:r>
      <w:r>
        <w:rPr>
          <w:color w:val="000000"/>
          <w:szCs w:val="20"/>
          <w:u w:color="000000"/>
        </w:rPr>
        <w:t> zwiększenie łącznych nakładów ogółem oraz limitu zobowiązań na realizację zadania</w:t>
      </w:r>
      <w:r>
        <w:rPr>
          <w:color w:val="000000"/>
          <w:szCs w:val="20"/>
          <w:u w:color="000000"/>
        </w:rPr>
        <w:t>,</w:t>
      </w:r>
      <w:r>
        <w:rPr>
          <w:color w:val="000000"/>
          <w:szCs w:val="20"/>
          <w:u w:color="000000"/>
        </w:rPr>
        <w:t xml:space="preserve"> o kwotę 10 000,00 zł;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b</w:t>
      </w:r>
      <w:r>
        <w:rPr>
          <w:color w:val="000000"/>
          <w:szCs w:val="20"/>
          <w:u w:color="000000"/>
        </w:rPr>
        <w:t>)</w:t>
      </w:r>
      <w:r>
        <w:rPr>
          <w:color w:val="000000"/>
          <w:szCs w:val="20"/>
          <w:u w:color="000000"/>
        </w:rPr>
        <w:t> zwiększenie limitu wydatków na realizację zadania w roku budżetowym</w:t>
      </w:r>
      <w:r>
        <w:rPr>
          <w:color w:val="000000"/>
          <w:szCs w:val="20"/>
          <w:u w:color="000000"/>
        </w:rPr>
        <w:t>,</w:t>
      </w:r>
      <w:r>
        <w:rPr>
          <w:color w:val="000000"/>
          <w:szCs w:val="20"/>
          <w:u w:color="000000"/>
        </w:rPr>
        <w:t xml:space="preserve"> o kwotę 72 223,80 zł;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c</w:t>
      </w:r>
      <w:r>
        <w:rPr>
          <w:color w:val="000000"/>
          <w:szCs w:val="20"/>
          <w:u w:color="000000"/>
        </w:rPr>
        <w:t>)</w:t>
      </w:r>
      <w:r>
        <w:rPr>
          <w:color w:val="000000"/>
          <w:szCs w:val="20"/>
          <w:u w:color="000000"/>
        </w:rPr>
        <w:t> zmniejszenie limitu wydatków na realizację zadania w roku 2026</w:t>
      </w:r>
      <w:r>
        <w:rPr>
          <w:color w:val="000000"/>
          <w:szCs w:val="20"/>
          <w:u w:color="000000"/>
        </w:rPr>
        <w:t>,</w:t>
      </w:r>
      <w:r>
        <w:rPr>
          <w:color w:val="000000"/>
          <w:szCs w:val="20"/>
          <w:u w:color="000000"/>
        </w:rPr>
        <w:t> o kwotę 62 223,80 zł</w:t>
      </w:r>
      <w:r>
        <w:rPr>
          <w:color w:val="000000"/>
          <w:szCs w:val="20"/>
          <w:u w:color="000000"/>
        </w:rPr>
        <w:t>,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2.W zakresie programów, projektów lub zadań innych (finansowanych ze środków krajowych):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1) </w:t>
      </w:r>
      <w:r>
        <w:rPr>
          <w:color w:val="000000"/>
          <w:szCs w:val="20"/>
          <w:u w:color="000000"/>
        </w:rPr>
        <w:t>b</w:t>
      </w:r>
      <w:r>
        <w:rPr>
          <w:color w:val="000000"/>
          <w:szCs w:val="20"/>
          <w:u w:color="000000"/>
        </w:rPr>
        <w:t>udowa budynku szatni sportowej z zapleczem sanitarnym przy boisku w miejscowości Ujście Jezuickie – zmiana w przedsięwzięciu obejmuje m.in.: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a</w:t>
      </w:r>
      <w:r>
        <w:rPr>
          <w:color w:val="000000"/>
          <w:szCs w:val="20"/>
          <w:u w:color="000000"/>
        </w:rPr>
        <w:t>. zmniejszenie limitu wydatków na realizację zadania w roku 2026</w:t>
      </w:r>
      <w:r>
        <w:rPr>
          <w:color w:val="000000"/>
          <w:szCs w:val="20"/>
          <w:u w:color="000000"/>
        </w:rPr>
        <w:t>,</w:t>
      </w:r>
      <w:r>
        <w:rPr>
          <w:color w:val="000000"/>
          <w:szCs w:val="20"/>
          <w:u w:color="000000"/>
        </w:rPr>
        <w:t> o kwotę 143 000,00 zł;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2) </w:t>
      </w:r>
      <w:r>
        <w:rPr>
          <w:color w:val="000000"/>
          <w:szCs w:val="20"/>
          <w:u w:color="000000"/>
        </w:rPr>
        <w:t>b</w:t>
      </w:r>
      <w:r>
        <w:rPr>
          <w:color w:val="000000"/>
          <w:szCs w:val="20"/>
          <w:u w:color="000000"/>
        </w:rPr>
        <w:t>udowa publicznego przedszkola ze żłobkiem wraz z instalacjami infrastruktury technicznej w miejscowości Gręboszów – zmiana w przedsięwzięciu obejmuje m.in.: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a</w:t>
      </w:r>
      <w:r>
        <w:rPr>
          <w:color w:val="000000"/>
          <w:szCs w:val="20"/>
          <w:u w:color="000000"/>
        </w:rPr>
        <w:t>. zmniejszenie łącznych nakładów ogółem oraz limitu zobowiązań na realizację zadania</w:t>
      </w:r>
      <w:r>
        <w:rPr>
          <w:color w:val="000000"/>
          <w:szCs w:val="20"/>
          <w:u w:color="000000"/>
        </w:rPr>
        <w:t>,</w:t>
      </w:r>
      <w:r>
        <w:rPr>
          <w:color w:val="000000"/>
          <w:szCs w:val="20"/>
          <w:u w:color="000000"/>
        </w:rPr>
        <w:t xml:space="preserve"> o kwotę 2 930 000,00 zł;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b</w:t>
      </w:r>
      <w:r>
        <w:rPr>
          <w:color w:val="000000"/>
          <w:szCs w:val="20"/>
          <w:u w:color="000000"/>
        </w:rPr>
        <w:t>. zmniejszenie limitu wydatków na realizację zadania w roku 2026</w:t>
      </w:r>
      <w:r>
        <w:rPr>
          <w:color w:val="000000"/>
          <w:szCs w:val="20"/>
          <w:u w:color="000000"/>
        </w:rPr>
        <w:t>,</w:t>
      </w:r>
      <w:r>
        <w:rPr>
          <w:color w:val="000000"/>
          <w:szCs w:val="20"/>
          <w:u w:color="000000"/>
        </w:rPr>
        <w:t> o kwotę 2 930 000,00 zł</w:t>
      </w:r>
      <w:r>
        <w:rPr>
          <w:color w:val="000000"/>
          <w:szCs w:val="20"/>
          <w:u w:color="000000"/>
        </w:rPr>
        <w:t>,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3) </w:t>
      </w:r>
      <w:r>
        <w:rPr>
          <w:color w:val="000000"/>
          <w:szCs w:val="20"/>
          <w:u w:color="000000"/>
        </w:rPr>
        <w:t>z</w:t>
      </w:r>
      <w:r>
        <w:rPr>
          <w:color w:val="000000"/>
          <w:szCs w:val="20"/>
          <w:u w:color="000000"/>
        </w:rPr>
        <w:t>agospodarowanie terenu przy publicznym przedszkolu ze żłobkiem w miejscowości Gręboszów – zmiana w przedsięwzięciu obejmuje m.in.: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a</w:t>
      </w:r>
      <w:r>
        <w:rPr>
          <w:color w:val="000000"/>
          <w:szCs w:val="20"/>
          <w:u w:color="000000"/>
        </w:rPr>
        <w:t>. zmniejszenie łącznych nakładów ogółem oraz limitu zobowiązań na realizację zadania</w:t>
      </w:r>
      <w:r>
        <w:rPr>
          <w:color w:val="000000"/>
          <w:szCs w:val="20"/>
          <w:u w:color="000000"/>
        </w:rPr>
        <w:t>,</w:t>
      </w:r>
      <w:r>
        <w:rPr>
          <w:color w:val="000000"/>
          <w:szCs w:val="20"/>
          <w:u w:color="000000"/>
        </w:rPr>
        <w:t xml:space="preserve"> o kwotę 2 000 000,00 zł;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b</w:t>
      </w:r>
      <w:r>
        <w:rPr>
          <w:color w:val="000000"/>
          <w:szCs w:val="20"/>
          <w:u w:color="000000"/>
        </w:rPr>
        <w:t>. zmniejszenie limitu wydatków na realizację zadania w roku 2026</w:t>
      </w:r>
      <w:r>
        <w:rPr>
          <w:color w:val="000000"/>
          <w:szCs w:val="20"/>
          <w:u w:color="000000"/>
        </w:rPr>
        <w:t>,</w:t>
      </w:r>
      <w:r>
        <w:rPr>
          <w:color w:val="000000"/>
          <w:szCs w:val="20"/>
          <w:u w:color="000000"/>
        </w:rPr>
        <w:t> o kwotę 2 000 000,00 zł.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Zmiany wprowadzone w wykazie wieloletnich przedsięwzięć nie spowodowały zmiany horyzontu czasowego załącznika nr 2 WPF.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Zmiany wprowadzone w wykazie wieloletnich przedsięwzięć wpłynęły na zmianę pozycji 10.1.2 WPF, co przedstawiono w tabeli poniżej.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Zmiany w wydatkach majątkowych objętych limitem z art. 226 ust. 3 pkt 4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2520"/>
        <w:gridCol w:w="2520"/>
        <w:gridCol w:w="2521"/>
        <w:gridCol w:w="2521"/>
      </w:tblGrid>
      <w:tr>
        <w:tblPrEx>
          <w:tblW w:w="5000" w:type="pct"/>
          <w:tblLayout w:type="fixed"/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Rok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Przed zmianą [zł]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Zmiana [zł]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20"/>
                <w:szCs w:val="20"/>
              </w:rPr>
              <w:t>Po zmianie [zł]</w:t>
            </w:r>
          </w:p>
        </w:tc>
      </w:tr>
      <w:tr>
        <w:tblPrEx>
          <w:tblW w:w="5000" w:type="pct"/>
          <w:tblLayout w:type="fixed"/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14 765 776,20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+72 223,80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14 838 000,00</w:t>
            </w:r>
          </w:p>
        </w:tc>
      </w:tr>
      <w:tr>
        <w:tblPrEx>
          <w:tblW w:w="5000" w:type="pct"/>
          <w:tblLayout w:type="fixed"/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9 020 223,80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-2 135 223,80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6 885 000,00</w:t>
            </w:r>
          </w:p>
        </w:tc>
      </w:tr>
      <w:tr>
        <w:tblPrEx>
          <w:tblW w:w="5000" w:type="pct"/>
          <w:tblLayout w:type="fixed"/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1 602 000,00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+2 800 000,00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20"/>
                <w:szCs w:val="20"/>
              </w:rPr>
              <w:t>4 402 000,00</w:t>
            </w:r>
          </w:p>
        </w:tc>
      </w:tr>
    </w:tbl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Źródło: opracowanie własne.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Wartości wykazane w pozostałych pozycjach WPF, stanowią informacje uzupełniające względem pozycji opisanych powyżej. Zostały przedstawione w WPF zgodnie z obowiązującym stanem faktycznym, na podstawie zawartych umów i porozumień.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Pełen zakres zmian obrazują załączniki nr 1 i 2 do niniejszej uchwały.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</w:p>
    <w:tbl>
      <w:tblPr>
        <w:tblStyle w:val="TableSimple1"/>
        <w:tblW w:w="5000" w:type="pct"/>
        <w:tblInd w:w="283" w:type="dxa"/>
        <w:tblBorders>
          <w:top w:val="nil"/>
          <w:left w:val="nil"/>
          <w:bottom w:val="nil"/>
          <w:right w:val="nil"/>
        </w:tblBorders>
        <w:tblLook w:val="04A0"/>
      </w:tblPr>
      <w:tblGrid>
        <w:gridCol w:w="4792"/>
        <w:gridCol w:w="4792"/>
      </w:tblGrid>
      <w:tr>
        <w:tblPrEx>
          <w:tblW w:w="5000" w:type="pct"/>
          <w:tblInd w:w="283" w:type="dxa"/>
          <w:tblLook w:val="04A0"/>
        </w:tblPrEx>
        <w:tc>
          <w:tcPr>
            <w:tcW w:w="2500" w:type="pct"/>
            <w:tcBorders>
              <w:right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120" w:beforeAutospacing="0" w:after="120" w:afterAutospacing="0" w:line="240" w:lineRule="auto"/>
              <w:ind w:left="0" w:right="0" w:firstLine="0"/>
              <w:contextualSpacing w:val="0"/>
              <w:rPr>
                <w:color w:val="000000"/>
                <w:szCs w:val="20"/>
                <w:u w:color="000000"/>
              </w:rPr>
            </w:pPr>
          </w:p>
        </w:tc>
        <w:tc>
          <w:tcPr>
            <w:tcW w:w="2500" w:type="pct"/>
            <w:tcBorders>
              <w:left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120" w:beforeAutospacing="0" w:after="12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color w:val="000000"/>
                <w:szCs w:val="20"/>
                <w:u w:color="000000"/>
              </w:rPr>
              <w:fldChar w:fldCharType="begin"/>
            </w:r>
            <w:r>
              <w:rPr>
                <w:color w:val="000000"/>
                <w:szCs w:val="20"/>
                <w:u w:color="000000"/>
              </w:rPr>
              <w:instrText>SIGNATURE_0_1_FUNCTION</w:instrText>
            </w:r>
            <w:r>
              <w:rPr>
                <w:color w:val="000000"/>
                <w:szCs w:val="20"/>
                <w:u w:color="000000"/>
              </w:rPr>
              <w:fldChar w:fldCharType="separate"/>
            </w:r>
            <w:r>
              <w:rPr>
                <w:color w:val="000000"/>
                <w:szCs w:val="20"/>
                <w:u w:color="000000"/>
              </w:rPr>
              <w:t>Przewodniczący Rady Gminy Gręboszów</w:t>
            </w:r>
            <w:r>
              <w:rPr>
                <w:color w:val="000000"/>
                <w:szCs w:val="20"/>
                <w:u w:color="000000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120" w:beforeAutospacing="0" w:after="12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color w:val="000000"/>
                <w:szCs w:val="20"/>
                <w:u w:color="000000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120" w:beforeAutospacing="0" w:after="12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color w:val="000000"/>
                <w:szCs w:val="20"/>
                <w:u w:color="000000"/>
              </w:rPr>
              <w:fldChar w:fldCharType="begin"/>
            </w:r>
            <w:r>
              <w:rPr>
                <w:color w:val="000000"/>
                <w:szCs w:val="20"/>
                <w:u w:color="000000"/>
              </w:rPr>
              <w:instrText>SIGNATURE_0_1_FIRSTNAME</w:instrText>
            </w:r>
            <w:r>
              <w:rPr>
                <w:color w:val="000000"/>
                <w:szCs w:val="20"/>
                <w:u w:color="000000"/>
              </w:rPr>
              <w:fldChar w:fldCharType="separate"/>
            </w:r>
            <w:r>
              <w:rPr>
                <w:b/>
                <w:color w:val="000000"/>
                <w:szCs w:val="20"/>
                <w:u w:color="000000"/>
              </w:rPr>
              <w:t xml:space="preserve">Wiesław </w:t>
            </w:r>
            <w:r>
              <w:rPr>
                <w:color w:val="000000"/>
                <w:szCs w:val="20"/>
                <w:u w:color="000000"/>
              </w:rPr>
              <w:fldChar w:fldCharType="end"/>
            </w:r>
            <w:r>
              <w:rPr>
                <w:color w:val="000000"/>
                <w:szCs w:val="20"/>
                <w:u w:color="000000"/>
              </w:rPr>
              <w:fldChar w:fldCharType="begin"/>
            </w:r>
            <w:r>
              <w:rPr>
                <w:color w:val="000000"/>
                <w:szCs w:val="20"/>
                <w:u w:color="000000"/>
              </w:rPr>
              <w:instrText>SIGNATURE_0_1_LASTNAME</w:instrText>
            </w:r>
            <w:r>
              <w:rPr>
                <w:color w:val="000000"/>
                <w:szCs w:val="20"/>
                <w:u w:color="000000"/>
              </w:rPr>
              <w:fldChar w:fldCharType="separate"/>
            </w:r>
            <w:r>
              <w:rPr>
                <w:b/>
                <w:color w:val="000000"/>
                <w:szCs w:val="20"/>
                <w:u w:color="000000"/>
              </w:rPr>
              <w:t>Wytrwał</w:t>
            </w:r>
            <w:r>
              <w:rPr>
                <w:color w:val="000000"/>
                <w:szCs w:val="20"/>
                <w:u w:color="000000"/>
              </w:rPr>
              <w:fldChar w:fldCharType="end"/>
            </w:r>
          </w:p>
        </w:tc>
      </w:tr>
    </w:tbl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340" w:right="0" w:firstLine="0"/>
        <w:contextualSpacing w:val="0"/>
        <w:rPr>
          <w:color w:val="000000"/>
          <w:szCs w:val="20"/>
          <w:u w:color="000000"/>
        </w:rPr>
      </w:pPr>
    </w:p>
    <w:sectPr>
      <w:footerReference w:type="default" r:id="rId8"/>
      <w:endnotePr>
        <w:numFmt w:val="decimal"/>
      </w:endnotePr>
      <w:type w:val="nextPage"/>
      <w:pgSz w:w="11906" w:h="16838" w:code="0"/>
      <w:pgMar w:top="992" w:right="1020" w:bottom="992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6B1EFF92-D3C8-466F-A1EA-1574F8C5C7AE.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14514"/>
      <w:gridCol w:w="7257"/>
    </w:tblGrid>
    <w:tr>
      <w:tblPrEx>
        <w:tblW w:w="5000" w:type="pct"/>
      </w:tblPrEx>
      <w:tc>
        <w:tcPr>
          <w:tcW w:w="14514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6B1EFF92-D3C8-466F-A1EA-1574F8C5C7AE. Projekt</w:t>
          </w:r>
        </w:p>
      </w:tc>
      <w:tc>
        <w:tcPr>
          <w:tcW w:w="725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14514"/>
      <w:gridCol w:w="7257"/>
    </w:tblGrid>
    <w:tr>
      <w:tblPrEx>
        <w:tblW w:w="5000" w:type="pct"/>
      </w:tblPrEx>
      <w:tc>
        <w:tcPr>
          <w:tcW w:w="14514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6B1EFF92-D3C8-466F-A1EA-1574F8C5C7AE. Projekt</w:t>
          </w:r>
        </w:p>
      </w:tc>
      <w:tc>
        <w:tcPr>
          <w:tcW w:w="725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6B1EFF92-D3C8-466F-A1EA-1574F8C5C7AE.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pPr>
        <w:spacing w:after="0" w:line="240" w:lineRule="auto"/>
      </w:pPr>
      <w:r>
        <w:separator/>
      </w:r>
    </w:p>
  </w:footnote>
  <w:footnote w:type="continuationSeparator" w:id="1">
    <w:p>
      <w:pPr>
        <w:spacing w:after="0" w:line="240" w:lineRule="auto"/>
      </w:pPr>
      <w:r>
        <w:continuationSeparator/>
      </w:r>
    </w:p>
  </w:footnote>
  <w:footnote w:id="2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  <w:b w:val="0"/>
          <w:caps w:val="0"/>
        </w:rPr>
        <w:t>1)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z 2024 r. poz. 1572, 1717, 1756 i 1907, z 2025 r. poz. 39, z 2022 r. poz. 1079 i 1180)</w:t>
      </w:r>
    </w:p>
  </w:footnote>
  <w:footnote w:id="3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  <w:b w:val="0"/>
          <w:caps w:val="0"/>
        </w:rPr>
        <w:t>1)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Wzór może być stosowany także w układzie pionowym, w którym poszczególne pozycje są przedstawione w kolumnach, a lata w wierszach.</w:t>
      </w:r>
    </w:p>
  </w:footnote>
  <w:footnote w:id="4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  <w:b w:val="0"/>
          <w:caps w:val="0"/>
        </w:rPr>
        <w:t>2)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W pozycji wykazuje się dochody o charakterze celowym, które jednostka otrzymuje od podmiotów zewnętrznych. W szczególności pozycja obejmuje dotacje celowe z budżetu państwa na zadania bieżące oraz dotacje i środki na finansowanie wydatków bieżących na realizację zadań finansowanych z udziałem środków, o których mowa w art. 5 ust. 1 pkt 2 i 3 ustawy. W pozycji nie wykazuje się natomiast dochodów związanych ze szczególnymi zasadami wykonywania budżetu jednostki wynikającymi z odrębnych ustaw, o których mowa w art. 237 ust. 1 ustawy.</w:t>
      </w:r>
    </w:p>
  </w:footnote>
  <w:footnote w:id="5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  <w:b w:val="0"/>
          <w:caps w:val="0"/>
        </w:rPr>
        <w:t>3)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W pozycji wykazuje się pozostałe dochody bieżące w szczególności kwoty podatków i opłat lokalnych.</w:t>
      </w:r>
    </w:p>
  </w:footnote>
  <w:footnote w:id="6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  <w:b w:val="0"/>
          <w:caps w:val="0"/>
        </w:rPr>
        <w:t>4)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Inne przeznaczenie nadwyżki budżetowej wymaga określenia w objaśnieniach do wieloletniej prognozy finansowej.</w:t>
      </w:r>
    </w:p>
  </w:footnote>
  <w:footnote w:id="7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  <w:b w:val="0"/>
          <w:caps w:val="0"/>
        </w:rPr>
        <w:t>5)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W pozycji należy ująć środki pieniężne znajdujące się na rachunku budżetu pochodzące z nadwyżek poprzednich budżetów, łącznie z niewykorzystanymi środkami, o których mowa w art. 217 ust. 2 pkt 8 ustawy.</w:t>
      </w:r>
    </w:p>
  </w:footnote>
  <w:footnote w:id="8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  <w:b w:val="0"/>
          <w:caps w:val="0"/>
        </w:rPr>
        <w:t>6)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W pozycji należy ująć w szczególności przychody pochodzące z prywatyzacji majątku jednostki samorządu terytorialnego.</w:t>
      </w:r>
    </w:p>
  </w:footnote>
  <w:footnote w:id="9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  <w:b w:val="0"/>
          <w:caps w:val="0"/>
        </w:rPr>
        <w:t>7)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Skorygowanie o środki dotyczy określonego w art. 242 ustawy powiększenia o odpowiednie dla roku prognozy przychody wskazane w art. 217 ust. 2 ustawy. Skutki finansowe wyłączeń ograniczenia, o którym mowa w art. 242 ustawy, zawarte w innych ustawach należy ująć w objaśnieniach dołączanych do wieloletniej prognozy finansowej zgodnie z art. 226 ust. 2a ustawy.</w:t>
      </w:r>
    </w:p>
  </w:footnote>
  <w:footnote w:id="1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  <w:b w:val="0"/>
          <w:caps w:val="0"/>
        </w:rPr>
        <w:t>8)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W pozycji należy ująć kwoty wydatków bieżących, o które zostają pomniejszone wydatki bieżące budżetu przy wyliczaniu limitu spłaty zobowiązań określonego po prawej stronie nierówności we wzorze, o którym mowa w art. 243 ustawy, na podstawie odrębnych ustaw, bez wydatków bieżących na obsługę długu.W szczególności należy ująć wydatki poniesione w celu realizacji zadań związanych z przeciwdziałaniem COVID-19.</w:t>
      </w:r>
    </w:p>
  </w:footnote>
  <w:footnote w:id="11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  <w:b w:val="0"/>
          <w:caps w:val="0"/>
        </w:rPr>
        <w:t>9)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Zgodnie z art. 227 ustawy z dnia 27 sierpnia 2009 r. o finansach publicznych (Dz. U. z 2019 r. poz. 869, z późn. zm.), zwanej dalej „ustawą”, wieloletnia prognoza finansowa obejmuje okres roku budżetowego oraz co najmniej trzech kolejnych lat. W sytuacji dłuższego okresu prognozowania finansowego wzór stosuje się dla lat wykraczających poza minimalny (4-letni) okres prognozy wynikający z art. 227 ustawy.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footnotePr>
    <w:footnote w:id="0"/>
    <w:footnote w:id="1"/>
  </w:footnotePr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footer" Target="footer4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Gręboszów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XV/116/2025 z dnia 11 września 2025 r.</dc:title>
  <dc:subject>w sprawie zmiany Wieloletniej Prognozy Finansowej Gminy Gręboszów na lata 2025-2031</dc:subject>
  <dc:creator>marcin.janowiec</dc:creator>
  <cp:lastModifiedBy>marcin.janowiec</cp:lastModifiedBy>
  <cp:revision>1</cp:revision>
  <dcterms:created xsi:type="dcterms:W3CDTF">2025-09-10T10:39:11Z</dcterms:created>
  <dcterms:modified xsi:type="dcterms:W3CDTF">2025-09-10T10:39:11Z</dcterms:modified>
  <cp:category>Akt prawny</cp:category>
</cp:coreProperties>
</file>