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22 grudnia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XX/145/2025</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Gminy Gręboszów</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30 grudnia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Wieloletniej Prognozy Finansowej Gminy Gręboszów na lata 2026-2031</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230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6</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27</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sierpnia 2009</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roku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finansach publicznych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1483)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Uchwala się Wieloletnią Prognozę Finansową Gminy Gręboszów na lata 2026-2031, zgodnie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załącznikiem nr 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Uchwala się wykaz wieloletnich przedsięwzięć Gminy Gręboszów, obejmujący limity wydatków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poszczególnych latach oraz limity zobowiązań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nimi związane, zgodnie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załącznikiem nr 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rPr>
        <w:t>Objaśnienia przyjętych wartości do Wieloletniej Prognozy Finansowej Gminy Gręboszów na lata 2026-2031 stanowią załącznik nr 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Upoważnia się Wójta Gminy Gręboszów do zaciągania zobowiązań: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związanych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realizacją wieloletnich przedsięwzięć do wysokości limitów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załączniku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 tytułu umów, których realizacja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budżetowym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latach następnych jest niezbędna dla zapewnienia ciągłości działania Gminy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terminy płatności wykraczają poza rok budżetowy, do kwoty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Upoważnia się Wójta Gminy Gręboszów do przekazania uprawnień do zaciągania zobowiązań,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kierownikom jednostek organizacyjnych Gminy.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Upoważnia się Wójta Gminy Gręboszów do dokonywania zmian limitów zobowiązań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kwot wydatków na realizację przedsięwzięć finansowanych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środków europejskich albo środków,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sierpnia 2009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finansach publicznych,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związku ze zmianami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takich przedsięwzięć,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ile zmiany te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pogorszą wyniku budżetu dla każdego roku objętego wieloletnią prognozą finansową. Upoważnienie to obejmuje także upoważnienie do dokonywania zmian środków przeznaczonych na współfinansowanie realizacji przedsięwzięć,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zdaniu pierwszym,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wkładu własnego beneficjenta, oraz wynikających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rozstrzygniętych konkursów,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lipca 2014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zasadach realizacji programów.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Wykonanie uchwały powierza się Wójtowi Gminy Gręboszów.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Z dniem 31 grudnia 2025 r. traci moc uchwała Nr VIII/63/2024 Rady Gminy Gręboszów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30 grudnia 2024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Gminy Gręboszów na lata 2025-2031,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późniejszymi zmianami.</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992" w:right="1020" w:bottom="992" w:left="1020" w:header="708" w:footer="708" w:gutter="0"/>
          <w:cols w:space="708"/>
          <w:docGrid w:linePitch="360"/>
        </w:sectPr>
      </w:pPr>
    </w:p>
    <w:p w:rsidR="00A77B3E">
      <w:pPr>
        <w:keepNext/>
        <w:spacing w:before="120" w:after="120" w:line="360" w:lineRule="auto"/>
        <w:ind w:left="17122"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XX/145/2025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Gminy Gręboszów</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Wieloletnia Prognoza Finansowa</w:t>
      </w:r>
      <w:r>
        <w:rPr>
          <w:rStyle w:val="FootnoteReference"/>
          <w:rFonts w:ascii="Times New Roman" w:eastAsia="Times New Roman" w:hAnsi="Times New Roman" w:cs="Times New Roman"/>
          <w:b/>
          <w:i w:val="0"/>
          <w:caps w:val="0"/>
          <w:strike w:val="0"/>
          <w:color w:val="000000"/>
          <w:sz w:val="20"/>
          <w:u w:val="none" w:color="000000"/>
          <w:vertAlign w:val="superscript"/>
        </w:rPr>
        <w:footnoteReference w:customMarkFollows="1" w:id="2"/>
        <w:t xml:space="preserve">1)</w:t>
      </w:r>
      <w:r>
        <w:rPr>
          <w:rFonts w:ascii="Times New Roman" w:eastAsia="Times New Roman" w:hAnsi="Times New Roman" w:cs="Times New Roman"/>
          <w:b w:val="0"/>
          <w:i w:val="0"/>
          <w:caps w:val="0"/>
          <w:strike w:val="0"/>
          <w:color w:val="000000"/>
          <w:sz w:val="22"/>
          <w:u w:val="none" w:color="000000"/>
          <w:vertAlign w:val="baseli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464"/>
        <w:gridCol w:w="384"/>
        <w:gridCol w:w="360"/>
        <w:gridCol w:w="360"/>
        <w:gridCol w:w="4838"/>
        <w:gridCol w:w="24"/>
        <w:gridCol w:w="1464"/>
        <w:gridCol w:w="1464"/>
        <w:gridCol w:w="1464"/>
        <w:gridCol w:w="1452"/>
        <w:gridCol w:w="1452"/>
        <w:gridCol w:w="1452"/>
        <w:gridCol w:w="1452"/>
        <w:gridCol w:w="1452"/>
        <w:gridCol w:w="1452"/>
        <w:gridCol w:w="1453"/>
      </w:tblGrid>
      <w:tr>
        <w:tblPrEx>
          <w:tblW w:w="5000" w:type="pct"/>
          <w:tblLayout w:type="fixed"/>
        </w:tblPrEx>
        <w:trPr>
          <w:trHeight w:hRule="auto" w:val="0"/>
        </w:trPr>
        <w:tc>
          <w:tcPr>
            <w:tcW w:w="7713" w:type="dxa"/>
            <w:gridSpan w:val="5"/>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Wyszczególnienie</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2019</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2020</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2021</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2022</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2023</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Plan 3 kw. 2025</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2027</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2028</w:t>
            </w:r>
          </w:p>
        </w:tc>
      </w:tr>
      <w:tr>
        <w:tblPrEx>
          <w:tblW w:w="5000" w:type="pct"/>
          <w:tblLayout w:type="fixed"/>
        </w:tblPrEx>
        <w:trPr>
          <w:trHeight w:hRule="auto" w:val="0"/>
        </w:trPr>
        <w:tc>
          <w:tcPr>
            <w:tcW w:w="7713" w:type="dxa"/>
            <w:gridSpan w:val="5"/>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1. Dochody ogółem</w:t>
            </w:r>
            <w:r>
              <w:rPr>
                <w:b/>
                <w:sz w:val="14"/>
                <w:vertAlign w:val="superscript"/>
              </w:rPr>
              <w:t>X</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11 980 391,31</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18 358 285,17</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17 589 024,02</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19 318 398,47</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20 737 979,48</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29 518 559,98</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37 765 092,76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28 000 000,00</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26 671 055,00</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24 994 645,00</w:t>
            </w:r>
          </w:p>
        </w:tc>
      </w:tr>
      <w:tr>
        <w:tblPrEx>
          <w:tblW w:w="5000" w:type="pct"/>
          <w:tblLayout w:type="fixed"/>
        </w:tblPrEx>
        <w:trPr>
          <w:trHeight w:hRule="auto" w:val="0"/>
        </w:trPr>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w:t>
            </w:r>
          </w:p>
        </w:tc>
        <w:tc>
          <w:tcPr>
            <w:tcW w:w="6188" w:type="dxa"/>
            <w:gridSpan w:val="4"/>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w:t>
            </w:r>
            <w:r>
              <w:rPr>
                <w:sz w:val="14"/>
                <w:vertAlign w:val="superscript"/>
              </w:rPr>
              <w:t>X</w:t>
            </w:r>
            <w:r>
              <w:rPr>
                <w:sz w:val="14"/>
              </w:rPr>
              <w:t>, z tego:</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11 624 804,72</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12 492 111,37</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13 789 278,34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18 639 744,01</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16 711 393,66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16 565 609,73</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21 608 400,34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20 050 000,00</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22 871 055,00</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22 894 645,00</w:t>
            </w:r>
          </w:p>
        </w:tc>
      </w:tr>
      <w:tr>
        <w:tblPrEx>
          <w:tblW w:w="5000" w:type="pct"/>
          <w:tblLayout w:type="fixed"/>
        </w:tblPrEx>
        <w:trPr>
          <w:trHeight w:hRule="auto" w:val="0"/>
        </w:trPr>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fizycznych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1 604 458,00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1 375 838,00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1 464 045,00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4 357 548,57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1 474 872,00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1 972 624,00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5 329 543,08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5 733 710,00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6 302 489,00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6 478 959,00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prawnych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14 863,07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13 951,76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14 895,66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19 234,07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25 283,00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27 699,00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48 840,46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109 909,00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57 757,00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59 374,00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z subwencji ogólnej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4 433 247,00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4 754 141,00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5 301 378,00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4 915 370,00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7 348 295,95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7 358 208,00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4 681 403,45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4 888 257,00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5 491 317,00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5 445 074,00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1.1.4</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z tytułu dotacji i</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środków przeznaczonych na cele bieżące</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3"/>
              <w:t xml:space="preserve">2)</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4 062 464,11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4 215 508,49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4 576 742,04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5 499 858,30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3 140 141,66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3 140 205,01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2 533 874,27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1 524 197,00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1 767 850,00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1 800 350,00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pozostałe dochody bieżące</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4"/>
              <w:t xml:space="preserve">3)</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1 509 772,54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2 132 672,12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2 432 217,64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3 847 733,07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4 722 801,05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4 066 873,72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9 014 739,08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7 793 927,00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9 251 642,00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9 110 888,00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podatku od nieruchomości</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377 872,70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519 238,18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597 663,76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1 538 415,83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1 578 418,45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1 596 807,87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2 960 000,00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2 750 000,00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3 198 299,00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3 385 051,00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5 866 173,80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3 799 745,68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678 654,46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4 026 585,82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12 952 950,25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16 156 692,42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7 950 000,00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ze sprzedaży majątku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10 462,96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94 975,93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66 624,46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15 753,82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74 300,00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1 067 260,00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341 594,39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oraz środków przeznaczonych na inwestycje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5 855 710,84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3 704 769,75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612 030,00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4 010 832,00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12 878 650,25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15 089 432,42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7 608 405,61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2 100 000,00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 Wydatki ogółem</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11 615 565,13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15 690 075,78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15 759 738,52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18 682 096,94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26 870 299,99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34 000 140,74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37 685 511,79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31 000 000,00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24 271 055,00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22 594 645,00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11 228 642,71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11 845 185,33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13 324 492,44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17 144 187,75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16 187 562,07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17 797 237,95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20 301 260,24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19 420 000,00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19 428 425,00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19 984 883,00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wynagrodzenia i składki od nich naliczane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4 518 204,35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4 666 945,13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5 214 421,61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5 911 192,69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6 858 904,84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8 306 351,65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9 861 854,82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11 187 236,00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11 187 236,00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12 130 383,00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poręczeń i gwarancji</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gwarancje i poręczenia podlegające wyłączeniu z limitu spłaty zobowiązań, o którym mowa w art. 243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obsługę długu</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28 527,47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26 851,36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39 867,67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72 890,87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32 167,10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432 036,19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472 100,00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208 000,00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w terminie nie dłuższym niż 90 dni po zakończeniu programu, projektu lub zadania i otrzymaniu refundacji z tych środków (bez odsetek i dyskonta od zobowiązań na wkład krajowy)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z tytułu zobowiązań zaciągniętych na wkład krajowy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odsetki i dyskonto podlegające wyłączeniu z limitu spłaty zobowiązań, o którym mowa w art. 243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386 922,42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3 844 890,45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2 435 246,08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1 537 909,19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10 682 737,92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16 202 902,79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17 384 251,55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11 580 000,00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4 842 630,00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2 609 762,00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Inwestycje i zakupy inwestycyjne, o których mowa w art. 236 ust. 4 pkt 1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386 922,42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3 844 890,45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2 435 246,08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1 537 909,19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7 682 737,92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16 202 902,79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17 384 251,55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10 972 293,06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4 842 630,00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2 609 762,00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 charakterze dotacyjnym na inwestycje i zakupy inwestycyjne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40 802,79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185 425,62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524 016,36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4 546,60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102 006,30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1 017 882,35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1 841 600,00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4 856 756,25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3. Wynik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364 826,18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2 668 209,39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1 829 285,50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636 301,53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-6 132 320,51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-4 481 580,76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79 580,97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3.1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Kwota prognozowanej nadwyżki budżetu przeznaczana na spłatę kredytów, pożyczek i</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wykup papierów wartościowych</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5"/>
              <w:t xml:space="preserve">4)</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364 826,18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636 301,53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4. Przychody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378 458,71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932 424,89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3 550 634,28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5 160 219,78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9 934 320,31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5 498 529,80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6 320 419,03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Kredyty, pożyczki, emisja papierów wartościowych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300 000,00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300 000,00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1 198 000,20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Nadwyżka budżetowa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lat ubiegłych</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6"/>
              <w:t xml:space="preserve">5)</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477,16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3 062 721,95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3 296 025,93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476 390,93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477,16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476 390,93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Wolne środki, o których mowa w art. 217 ust.2 pkt 6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78 458,71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150 046,73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50 412,33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1 864 193,85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2 795 198,87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83 644,96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150 046,73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2 005 189,84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udzielonych pożyczek w latach ubiegłych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Inne przychody niezwiązane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zaciągnięciem długu</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7"/>
              <w:t xml:space="preserve">6)</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5. Rozchody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487 500,00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219 700,00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rat kapitałowych kredytów i pożyczek oraz wykup papierów wartościowych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łączna kwota przypadających na dany rok kwot ustawowych wyłączeń z limitu spłaty zobowiązań</w:t>
            </w:r>
            <w:r>
              <w:rPr>
                <w:sz w:val="14"/>
                <w:vertAlign w:val="superscript"/>
              </w:rPr>
              <w:t>X</w:t>
            </w:r>
            <w:r>
              <w:rPr>
                <w:sz w:val="14"/>
              </w:rPr>
              <w:t>,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3a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wyłączeń z tytułu wcześniejszej spłaty zobowiązań, określonych w art. 243 ust. 3b ustawy,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środkami nowego zobowiązania</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wolnymi środkami, o których mowa w art. 217 ust. 2 pkt 6 ustawy</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innymi środkami</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5.1.1.4</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pozostałych ustawowych wyłączeń z limitu spłaty zobowiązań</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rozchody niezwiązane ze spłatą długu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6. Kwota długu</w:t>
            </w:r>
            <w:r>
              <w:rPr>
                <w:b/>
                <w:sz w:val="14"/>
                <w:vertAlign w:val="superscript"/>
              </w:rPr>
              <w:t>X</w:t>
            </w:r>
            <w:r>
              <w:rPr>
                <w:b/>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6.1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długu, którego planowana spłata dokona się z wydatków</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7. Relacja zrównoważenia wydatków bieżących, o której mowa w art. 242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a wydatkami bieżącymi</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396 162,01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646 926,04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464 785,90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1 495 556,26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523 831,59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-1 231 628,22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1 307 140,10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3 442 630,00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2 909 762,00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Różnica między dochodami bieżącymi, skorygowanymi o</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środki</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8"/>
              <w:t xml:space="preserve">7)</w:t>
            </w:r>
            <w:r>
              <w:rPr>
                <w:rFonts w:ascii="Times New Roman" w:eastAsia="Times New Roman" w:hAnsi="Times New Roman" w:cs="Times New Roman"/>
                <w:b w:val="0"/>
                <w:i w:val="0"/>
                <w:caps w:val="0"/>
                <w:strike w:val="0"/>
                <w:color w:val="000000"/>
                <w:sz w:val="14"/>
                <w:u w:val="none" w:color="000000"/>
                <w:vertAlign w:val="baseline"/>
              </w:rPr>
              <w:t xml:space="preserve"> a</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wydatkami bieżącymi</w:t>
            </w:r>
            <w:r>
              <w:rPr>
                <w:rFonts w:ascii="Times New Roman" w:eastAsia="Times New Roman" w:hAnsi="Times New Roman" w:cs="Times New Roman"/>
                <w:b w:val="0"/>
                <w:i w:val="0"/>
                <w:caps w:val="0"/>
                <w:strike w:val="0"/>
                <w:color w:val="000000"/>
                <w:sz w:val="14"/>
                <w:u w:val="none" w:color="000000"/>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474 620,72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797 449,93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3 577 920,18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6 655 776,04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5 458 151,90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2 170 371,58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1 627 559,13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3 442 630,00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2 909 762,00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8. Wskaźnik spłaty zobowiązań</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lewej stronie nierówności we wzorze, o którym mowa w art. 243 ust. 1 ustawy (po uwzględnieniu zobowiązań związku współtworzonego przez jednostkę samorządu terytorialnego oraz po uwzględnieniu ustawowych wyłączeń przypadających na dany rok)</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5,31%</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prawej stronie nierówności we wzorze, o którym mowa w art. 243 ust. 1 ustawy, ustalona dla danego roku (wskaźnik jednoroczny)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14,94%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17,30%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14,36%</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plan 3 kwartału roku poprzedzającego pierwszy rok prognozy (wskaźnik ustalony w oparciu o średnią arytmetyczną z poprzednich lat)</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7,92%</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wykonanie roku poprzedzającego pierwszy rok prognozy (wskaźnik ustalony w oparciu o średnią arytmetyczną z poprzednich lat)</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7,92%</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plan 3 kwartałów roku poprzedzającego rok budżetowy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wykonanie roku poprzedzającego rok budżetowy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9. Finansowanie programów, projektów lub zadań realizowanych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 na programy, projekty lub zadania finansowane z udziałem środków, o których mowa w art. 5 ust. 1 pkt 2 i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108 676,80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38 584,55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674 778,00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Dotacje i środki o charakterze bieżącym na realizację programu, projektu lub zadania finansowanego z udziałem środków, o których mowa w art. 5 ust. 1 pkt 2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108 676,80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38 584,55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94 108,79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34 834,58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354 263,96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151 030,00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2 301 199,54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5 333 627,61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354 263,96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151 030,00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2 301 199,54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5 333 627,61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141 054,84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142 116,76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1 976 637,63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773 999,08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5 333 627,61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i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39 750,03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119 599,00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29 771,75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38 483,95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57 907,93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39 750,03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119 599,00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29 771,75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38 483,95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57 907,93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29 527,11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97 642,03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23 249,78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32 859,98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43 008,08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26 702,07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280 653,08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352 712,00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110 827,50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629 693,04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1 549 662,62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8 655 536,81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2 830 000,00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26 702,07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280 653,08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352 712,00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110 827,50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629 693,04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1 549 662,62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8 655 536,81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2 830 000,00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16 281,75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147 785,49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211 627,20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557 146,63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1 126 251,57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290 795,29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2 520 000,00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10. Informacje uzupełniające o wybranych kategoriach finansowych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objęte limitem, o którym mowa w art. 226 ust. 3 pkt 4 ustawy,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2 040 124,00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4 230 451,57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13 058 384,65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14 797 938,00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2 910 000,00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4 141 000,00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4 252 000,00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bieżące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1 620 124,00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1 687 051,57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2 337 000,00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2 061 938,00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2 230 000,00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2 641 000,00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2 752 000,00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majątkowe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420 000,00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2 543 400,00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10 721 384,65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12 736 000,00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pokrycie ujemnego wyniku finansowego samodzielnego publicznego zakładu opieki zdrowotnej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spłatę zobowiązań przejmowanych w związku z likwidacją lub przekształceniem samodzielnego publicznego zakładu opieki zdrowotnej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związku współtworzonego przez jednostkę samorządu terytorialnego przypadających do spłaty w danym roku budżetowym, podlegająca doliczeniu zgodnie z art. 244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10.5</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wynikających z przejęcia przez jednostkę samorządu terytorialnego zobowiązań po likwidowanych i przekształcanych samorządowych osobach prawnych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10.6</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o których mowa w poz. 5.1, wynikające wyłącznie z tytułu zobowiązań już zaciągniętych</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zmniejszające dług</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wymagalnych z lat poprzednich, innych niż w poz. 10.7.3</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zaliczanych do tytułu dłużnego – kredyt i pożyczka</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zobowiązań zaciągniętych po dniu 1 stycznia 2019 r.</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dokonywana w formie wydatku bieżącego</w:t>
            </w:r>
            <w:r>
              <w:rPr>
                <w:sz w:val="14"/>
                <w:vertAlign w:val="superscript"/>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wypłaty z tytułu wymagalnych poręczeń i gwarancji</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10.8</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wzrostu(+)/spadku(−) kwoty długu wynikająca z operacji niekasowych (m.in. umorzenia, różnice kursowe)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10.9</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Wcześniejsza spłata zobowiązań, wyłączona z limitu spłaty zobowiązań, dokonywana w formie wydatków budżetowych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10.10</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Wykup papierów wartościowych, spłaty rat kredytów i pożyczek wraz z należnymi odsetkami i dyskontem, odpowiednio emitowanych lub zaciągniętych do równowartości kwoty ubytku w wykonanych dochodach jednostki samorządu terytorialnego będącego skutkiem wystąpienia COVID-19</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Wydatki bieżące podlegające ustawowemu wyłączeniu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limitu spłaty zobowiązań</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9"/>
              <w:t xml:space="preserve">8)</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736"/>
        <w:gridCol w:w="684"/>
        <w:gridCol w:w="648"/>
        <w:gridCol w:w="648"/>
        <w:gridCol w:w="9073"/>
        <w:gridCol w:w="2725"/>
        <w:gridCol w:w="2736"/>
        <w:gridCol w:w="2737"/>
      </w:tblGrid>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Wyszczególnienie</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14"/>
                <w:u w:val="none" w:color="000000"/>
                <w:vertAlign w:val="baseline"/>
              </w:rPr>
              <w:t>2029</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10"/>
              <w:t xml:space="preserve">9)</w:t>
            </w:r>
            <w:r>
              <w:rPr>
                <w:rFonts w:ascii="Times New Roman" w:eastAsia="Times New Roman" w:hAnsi="Times New Roman" w:cs="Times New Roman"/>
                <w:b w:val="0"/>
                <w:i w:val="0"/>
                <w:caps w:val="0"/>
                <w:strike w:val="0"/>
                <w:color w:val="000000"/>
                <w:sz w:val="22"/>
                <w:u w:val="none" w:color="000000"/>
                <w:vertAlign w:val="baseline"/>
              </w:rPr>
              <w:t> </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2031</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 Dochody ogółem</w:t>
            </w:r>
            <w:r>
              <w:rPr>
                <w:b/>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25 335 695,00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24 774 087,00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25 525 909,00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w:t>
            </w:r>
            <w:r>
              <w:rPr>
                <w:sz w:val="14"/>
                <w:vertAlign w:val="superscript"/>
              </w:rPr>
              <w:t>X</w:t>
            </w:r>
            <w:r>
              <w:rPr>
                <w:sz w:val="14"/>
              </w:rPr>
              <w:t>, z tego:</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23 485 695,00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24 124 087,00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24 727 189,00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fizycznych</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6 660 370,00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6 826 879,00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6 997 551,00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prawnych</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61 036,00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62 562,00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64 126,00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1.1.3</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subwencji ogólnej</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5 803 136,00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5 948 214,00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6 096 919,00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1.1.4</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i środków przeznaczonych na cele bieżące</w:t>
            </w:r>
            <w:r>
              <w:rPr>
                <w:sz w:val="14"/>
                <w:vertAlign w:val="superscript"/>
              </w:rPr>
              <w:t>X3</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1 868 236,00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1 914 942,00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1 962 816,00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dochody bieżące</w:t>
            </w:r>
            <w:r>
              <w:rPr>
                <w:sz w:val="14"/>
                <w:vertAlign w:val="superscript"/>
              </w:rPr>
              <w:t>4</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9 092 917,00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9 371 490,00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9 605 777,00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podatku od nieruchomości</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3 274 232,00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3 356 088,00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3 439 990,00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1 850 000,00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798 720,00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ze sprzedaży majątku</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oraz środków przeznaczonych na inwestycje</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1 850 000,00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798 720,00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 Wydatki ogółem</w:t>
            </w:r>
            <w:r>
              <w:rPr>
                <w:b/>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23 135 695,00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23 774 087,00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24 525 909,00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20 445 222,00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20 932 627,00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21 430 693,00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wynagrodzenia i składki od nich naliczane</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12 610 746,00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12 978 980,00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13 344 987,00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poręczeń i gwarancji</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gwarancje i poręczenia podlegające wyłączeniu z limitu spłaty zobowiązań, o którym mowa w art. 243 ustawy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obsługę długu</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71 000,00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12 000,00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w terminie nie dłuższym niż 90 dni po zakończeniu programu, projektu lub zadania i otrzymaniu refundacji z tych środków (bez odsetek i dyskonta od zobowiązań na wkład krajowy)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z tytułu zobowiązań zaciągniętych na wkład krajowy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2.1.3.3</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odsetki i dyskonto podlegające wyłączeniu z limitu spłaty zobowiązań, o którym mowa w art. 243 ustawy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2 690 473,00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2 841 460,00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3 095 216,00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Inwestycje i zakupy inwestycyjne, o których mowa w art. 236 ust. 4 pkt 1 ustawy,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2 690 473,00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2 841 460,00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3 095 216,00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 charakterze dotacyjnym na inwestycje i zakupy inwestycyjne</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3. Wynik budżetu</w:t>
            </w:r>
            <w:r>
              <w:rPr>
                <w:b/>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3.1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prognozowanej nadwyżki budżetu przeznaczana na spłatę kredytów, pożyczek i wykup papierów wartościowych</w:t>
            </w:r>
            <w:r>
              <w:rPr>
                <w:sz w:val="14"/>
                <w:vertAlign w:val="superscript"/>
              </w:rPr>
              <w:t>5</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4. Przychody budżetu</w:t>
            </w:r>
            <w:r>
              <w:rPr>
                <w:b/>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Kredyty, pożyczki, emisja papierów wartościowych</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Nadwyżka budżetowa z lat ubiegłych</w:t>
            </w:r>
            <w:r>
              <w:rPr>
                <w:sz w:val="14"/>
                <w:vertAlign w:val="superscript"/>
              </w:rPr>
              <w:t>X6</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Wolne środki, o których mowa w art. 217 ust.2 pkt 6 ustawy</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udzielonych pożyczek w latach ubiegłych</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przychody niezwiązane z zaciągnięciem długu</w:t>
            </w:r>
            <w:r>
              <w:rPr>
                <w:sz w:val="14"/>
                <w:vertAlign w:val="superscript"/>
              </w:rPr>
              <w:t>X7</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5. Rozchody budżetu</w:t>
            </w:r>
            <w:r>
              <w:rPr>
                <w:b/>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rat kapitałowych kredytów i pożyczek oraz wykup papierów wartościowych</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łączna kwota przypadających na dany rok kwot ustawowych wyłączeń z limitu spłaty zobowiązań</w:t>
            </w:r>
            <w:r>
              <w:rPr>
                <w:sz w:val="14"/>
                <w:vertAlign w:val="superscript"/>
              </w:rPr>
              <w:t>X</w:t>
            </w:r>
            <w:r>
              <w:rPr>
                <w:sz w:val="14"/>
              </w:rPr>
              <w:t>, z tego:</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 ustawy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3a ustawy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wyłączeń z tytułu wcześniejszej spłaty zobowiązań, określonych w art. 243 ust. 3b ustawy, z tego:</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0" w:type="dxa"/>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środkami nowego zobowiązania</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0" w:type="dxa"/>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wolnymi środkami, o których mowa w art. 217 ust. 2 pkt 6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5.1.1.3.3</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0" w:type="dxa"/>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innymi środkami</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5.1.1.4</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pozostałych ustawowych wyłączeń z limitu spłaty zobowiązań</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rozchody niezwiązane ze spłatą długu</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6. Kwota długu</w:t>
            </w:r>
            <w:r>
              <w:rPr>
                <w:b/>
                <w:sz w:val="14"/>
                <w:vertAlign w:val="superscript"/>
              </w:rPr>
              <w:t>X</w:t>
            </w:r>
            <w:r>
              <w:rPr>
                <w:b/>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6.1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długu, którego planowana spłata dokona się z wydatków</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7. Relacja zrównoważenia wydatków bieżących, o której mowa w art. 242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a wydatkami bieżącymi</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3 040 473,00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3 191 460,00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3 296 496,00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skorygowanymi o środki</w:t>
            </w:r>
            <w:r>
              <w:rPr>
                <w:sz w:val="14"/>
                <w:vertAlign w:val="superscript"/>
              </w:rPr>
              <w:t>8</w:t>
            </w:r>
            <w:r>
              <w:rPr>
                <w:sz w:val="14"/>
              </w:rPr>
              <w:t xml:space="preserve"> a wydatkami bieżącymi</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3 040 473,00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3 191 460,00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3 296 496,00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8. Wskaźnik spłaty zobowiązań</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lewej stronie nierówności we wzorze, o którym mowa w art. 243 ust. 1 ustawy (po uwzględnieniu zobowiązań związku współtworzonego przez jednostkę samorządu terytorialnego oraz po uwzględnieniu ustawowych wyłączeń przypadających na dany rok)</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4,95%</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4,67%</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4,45%</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prawej stronie nierówności we wzorze, o którym mowa w art. 243 ust. 1 ustawy, ustalona dla danego roku (wskaźnik jednoroczny)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14,39%</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14,54%</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14,53%</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plan 3 kwartału roku poprzedzającego pierwszy rok prognozy (wskaźnik ustalony w oparciu o średnią arytmetyczną z poprzednich lat)</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9,05%</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9,29%</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wykonanie roku poprzedzającego pierwszy rok prognozy (wskaźnik ustalony w oparciu o średnią arytmetyczną z poprzednich lat)</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9,06%</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9,30%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plan 3 kwartałów roku poprzedzającego rok budżetowy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wykonanie roku poprzedzającego rok budżetowy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9. Finansowanie programów, projektów lub zadań realizowanych z udziałem środków, o których mowa w art. 5 ust. 1 pkt 2 i 3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 na programy, projekty lub zadania finansowane z udziałem środków, o których mowa w art. 5 ust. 1 pkt 2 i 3 ustawy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Dotacje i środki o charakterze bieżącym na realizację programu, projektu lub zadania finansowanego z udziałem środków, o których mowa w art. 5 ust. 1 pkt 2 ustawy</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i 3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ustawy,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i 3 ustawy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ustawy</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i 3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ustawy,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43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10. Informacje uzupełniające o wybranych kategoriach finansowych</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objęte limitem, o którym mowa w art. 226 ust. 3 pkt 4 ustawy, z tego:</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4 824 000,00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4 386 000,00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3 090 000,00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bieżące</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2 824 000,00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2 866 000,00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3 090 000,00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majątkowe</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1 520 000,00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10.2</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pokrycie ujemnego wyniku finansowego samodzielnego publicznego zakładu opieki zdrowotnej</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10.3</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spłatę zobowiązań przejmowanych w związku z likwidacją lub przekształceniem samodzielnego publicznego zakładu opieki zdrowotnej</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10.4</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związku współtworzonego przez jednostkę samorządu terytorialnego przypadających do spłaty w danym roku budżetowym, podlegająca doliczeniu zgodnie z art. 244 ustawy</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10.5</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wynikających z przejęcia przez jednostkę samorządu terytorialnego zobowiązań po likwidowanych i przekształcanych samorządowych osobach prawnych</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10.6</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o których mowa w poz. 5.1, wynikające wyłącznie z tytułu zobowiązań już zaciągniętych</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750 000,00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zmniejszające dług</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wymagalnych z lat poprzednich, innych niż w poz. 10.7.3</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zaliczanych do tytułu dłużnego – kredyt i pożyczka</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1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zobowiązań zaciągniętych po dniu 1 stycznia 2019 r.</w:t>
            </w:r>
            <w:r>
              <w:rPr>
                <w:sz w:val="14"/>
                <w:vertAlign w:val="superscript"/>
              </w:rPr>
              <w:t>X</w:t>
            </w:r>
            <w:r>
              <w:rPr>
                <w:sz w:val="14"/>
              </w:rPr>
              <w:t>, w tym:</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10.7.2.1.1</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9450" w:type="dxa"/>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dokonywana w formie wydatku bieżącego</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10.7.3</w:t>
            </w:r>
          </w:p>
        </w:tc>
        <w:tc>
          <w:tcPr>
            <w:tcW w:w="712"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1080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wypłaty z tytułu wymagalnych poręczeń i gwarancji</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10.8</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wzrostu(+)/spadku(−) kwoty długu wynikająca z operacji niekasowych (m.in. umorzenia, różnice kursowe)</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10.9</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Wcześniejsza spłata zobowiązań, wyłączona z limitu spłaty zobowiązań, dokonywana w formie wydatków budżetowych</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10.10</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Wykup papierów wartościowych, spłaty rat kredytów i pożyczek wraz z należnymi odsetkami i dyskontem, odpowiednio emitowanych lub zaciągniętych do równowartości kwoty ubytku w wykonanych dochodach jednostki samorządu terytorialnego będącego skutkiem wystąpienia COVID-19</w:t>
            </w:r>
            <w:r>
              <w:rPr>
                <w:sz w:val="14"/>
                <w:vertAlign w:val="superscript"/>
              </w:rPr>
              <w:t>X</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11512"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podlegające ustawowemu wyłączeniu z limitu spłaty zobowiązań</w:t>
            </w:r>
            <w:r>
              <w:rPr>
                <w:sz w:val="14"/>
                <w:vertAlign w:val="superscript"/>
              </w:rPr>
              <w:t>9</w:t>
            </w:r>
          </w:p>
        </w:tc>
        <w:tc>
          <w:tcPr>
            <w:tcW w:w="2838"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28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Informacje zawarte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tej części wieloletniej prognozy finansowej,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spełnieniu relacji określonej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243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zostaną automatycznie wygenerowane przez aplikację wskazaną przez Ministra Finansów,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rozporządzenia, na podstawie danych historycznych oraz prognozowanych przez jednostkę samorządu terytorialnego.Automatyczne wyliczenia danych na podstawie wartości historycznych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prognozowanych przez jednostkę samorządu terytorialnego dotyczą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także pozycji 8.3–8.3.1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pozycji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sekcji 12.</w:t>
      </w:r>
    </w:p>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x - pozycje oznaczone symbolem „x” sporządza się na okres prognozy kwoty długu,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Okres ten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wydłużeniu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sytuacji planowania wydatków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planowania wydatków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okresie dłuższym niż okres, na który zaciągnięto oraz planuje się zaciągnąć zobowiązania dłużne,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wydatkach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wykraczających poza wspomniany okres, należy zamieścić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objaśnieniach do wieloletniej prognozy finansowej.</w:t>
      </w:r>
    </w:p>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10886"/>
        <w:gridCol w:w="10886"/>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23811" w:h="16838" w:orient="landscape"/>
          <w:pgMar w:top="992" w:right="1020" w:bottom="992" w:left="1020" w:header="708" w:footer="708" w:gutter="0"/>
          <w:pgNumType w:start="1"/>
          <w:cols w:space="708"/>
          <w:docGrid w:linePitch="360"/>
        </w:sectPr>
      </w:pPr>
    </w:p>
    <w:p w:rsidR="00A77B3E">
      <w:pPr>
        <w:keepNext/>
        <w:spacing w:before="120" w:after="120" w:line="360" w:lineRule="auto"/>
        <w:ind w:left="17122"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XX/145/2025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Gminy Gręboszów</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Wykaz przedsięwzięć do WPF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27"/>
        <w:gridCol w:w="4272"/>
        <w:gridCol w:w="1848"/>
        <w:gridCol w:w="660"/>
        <w:gridCol w:w="660"/>
        <w:gridCol w:w="1"/>
        <w:gridCol w:w="1715"/>
        <w:gridCol w:w="1"/>
        <w:gridCol w:w="1703"/>
        <w:gridCol w:w="1"/>
        <w:gridCol w:w="1715"/>
        <w:gridCol w:w="1"/>
        <w:gridCol w:w="1715"/>
        <w:gridCol w:w="1"/>
        <w:gridCol w:w="1715"/>
        <w:gridCol w:w="1"/>
        <w:gridCol w:w="1715"/>
        <w:gridCol w:w="1"/>
        <w:gridCol w:w="1715"/>
        <w:gridCol w:w="1"/>
        <w:gridCol w:w="1719"/>
      </w:tblGrid>
      <w:tr>
        <w:tblPrEx>
          <w:tblW w:w="5000" w:type="pct"/>
          <w:tblLayout w:type="fixed"/>
        </w:tblPrEx>
        <w:trPr>
          <w:trHeight w:hRule="auto" w:val="0"/>
        </w:trPr>
        <w:tc>
          <w:tcPr>
            <w:tcW w:w="862"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Lp.</w:t>
            </w:r>
          </w:p>
        </w:tc>
        <w:tc>
          <w:tcPr>
            <w:tcW w:w="4450"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Nazwa i cel</w:t>
            </w:r>
          </w:p>
        </w:tc>
        <w:tc>
          <w:tcPr>
            <w:tcW w:w="1925" w:type="dxa"/>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Jednostka odpowiedzialna lub koordynująca</w:t>
            </w:r>
          </w:p>
        </w:tc>
        <w:tc>
          <w:tcPr>
            <w:tcW w:w="1376"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Okres realizacji</w:t>
            </w:r>
          </w:p>
        </w:tc>
        <w:tc>
          <w:tcPr>
            <w:tcW w:w="1788"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Łącznie nakłady finansowe</w:t>
            </w:r>
          </w:p>
        </w:tc>
        <w:tc>
          <w:tcPr>
            <w:tcW w:w="1775"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2026</w:t>
            </w:r>
          </w:p>
        </w:tc>
        <w:tc>
          <w:tcPr>
            <w:tcW w:w="1788"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2027</w:t>
            </w:r>
          </w:p>
        </w:tc>
        <w:tc>
          <w:tcPr>
            <w:tcW w:w="1788"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2028</w:t>
            </w:r>
          </w:p>
        </w:tc>
        <w:tc>
          <w:tcPr>
            <w:tcW w:w="1788"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2029</w:t>
            </w:r>
          </w:p>
        </w:tc>
        <w:tc>
          <w:tcPr>
            <w:tcW w:w="1788"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2030</w:t>
            </w:r>
          </w:p>
        </w:tc>
        <w:tc>
          <w:tcPr>
            <w:tcW w:w="1788"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2031</w:t>
            </w:r>
          </w:p>
        </w:tc>
        <w:tc>
          <w:tcPr>
            <w:tcW w:w="1788" w:type="dxa"/>
            <w:gridSpan w:val="2"/>
            <w:vMerge w:val="restart"/>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zobowiązań</w:t>
            </w:r>
          </w:p>
        </w:tc>
      </w:tr>
      <w:tr>
        <w:tblPrEx>
          <w:tblW w:w="5000" w:type="pct"/>
          <w:tblLayout w:type="fixed"/>
        </w:tblPrEx>
        <w:trPr>
          <w:trHeight w:hRule="auto" w:val="0"/>
        </w:trPr>
        <w:tc>
          <w:tcPr>
            <w:tcW w:w="862" w:type="dxa"/>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4450" w:type="dxa"/>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925" w:type="dxa"/>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od</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do</w:t>
            </w:r>
          </w:p>
        </w:tc>
        <w:tc>
          <w:tcPr>
            <w:tcW w:w="1788"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75"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88"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88"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88"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88"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88"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88" w:type="dxa"/>
            <w:gridSpan w:val="2"/>
            <w:vMerge/>
            <w:tcBorders>
              <w:top w:val="nil"/>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przedsięwzięcia-ogółem (1.1+1.2+1.3)</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23 603 000,00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2 910 000,00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4 141 000,00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4 252 000,00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4 824 000,00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4 386 000,00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23 603 000,00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1.a</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16 403 000,00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2 230 000,00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2 641 000,00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2 752 000,00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2 824 000,00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2 866 000,00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16 403 000,00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1.b</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680 000,00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1 520 000,00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programami realizowanymi z udziałem środków, o których mowa w art.5 ust.1 pkt 2 i 3 ustawy z dnia 27 sierpnia 2009.r. o finansach publicznych (Dz.U. z 2017 r. poz. 2077, z późn.zm.), z tego:</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240 000,00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210 000,00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130 000,00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1.1.1</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240 000,00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210 000,00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130 000,00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1.1.1.1</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Wdrażanie Programu ochrony powietrza w Gminie Gręboszów - Projekt związany z zatrudnieniem ekodoradcy, - </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2029</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580 000,00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240 000,00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210 000,00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130 000,00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580 000,00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1.1.2</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umowami partnerstwa publiczno-prywatnego, z tego:</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1.2.1</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1.2.2</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pozostałe (inne niż wymienione w pkt 1.1 i 1.2), z tego</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23 023 000,00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2 910 000,00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3 901 000,00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4 042 000,00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4 694 000,00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4 386 000,00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23 023 000,00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1.3.1</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15 823 000,00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2 230 000,00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2 401 000,00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2 542 000,00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2 694 000,00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2 866 000,00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15 823 000,00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1.3.1.1</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Licencje i programy komputerowe - </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2031</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1 050 000,00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160 000,00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170 000,00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180 000,00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190 000,00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1 050 000,00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1.3.1.2</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Finansowanie utrzymania mieszkańców gminy w Domach Pomocy Społecznej - Finansowanie pobytu mieszkańców z terenu Gminy Gręboszów w DPS-ach</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Gminny Ośrodek Pomocy Społecznej</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2031</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4 410 000,00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710 000,00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720 000,00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730 000,00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740 000,00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760 000,00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4 410 000,00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1.3.1.3</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Obsługa bankowa budżetu Gminy Gręboszów na podstawie art. 264 uofp - </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2031</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143 000,00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21 000,00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22 000,00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24 000,00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26 000,00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143 000,00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1.3.1.4</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Oświetlenie placów ulic i dróg: dostawa energii do budynków i budowli stanowiących mienie gminne - Realizacja zadań własnych jst - </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2031</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1 770 000,00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270 000,00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1 770 000,00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1.3.1.5</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Wywóz odpadów komunalnych z terenu Gminy Gręboszów - Wywóż śmieci</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2031</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6 200 000,00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900 000,00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950 000,00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1 100 000,00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1 200 000,00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6 200 000,00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1.3.1.6</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Zimowe utrzymanie dróg publicznych - </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2031</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2 250 000,00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450 000,00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2 250 000,00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1.3.2</w:t>
            </w:r>
          </w:p>
        </w:tc>
        <w:tc>
          <w:tcPr>
            <w:tcW w:w="7751" w:type="dxa"/>
            <w:gridSpan w:val="4"/>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680 000,00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1 520 000,00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r>
      <w:tr>
        <w:tblPrEx>
          <w:tblW w:w="5000" w:type="pct"/>
          <w:tblLayout w:type="fixed"/>
        </w:tblPrEx>
        <w:trPr>
          <w:trHeight w:hRule="auto" w:val="0"/>
        </w:trPr>
        <w:tc>
          <w:tcPr>
            <w:tcW w:w="862"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1.3.2.1</w:t>
            </w:r>
          </w:p>
        </w:tc>
        <w:tc>
          <w:tcPr>
            <w:tcW w:w="4450"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Przebudowa kanału Hubenickiego na terenie Gminy Gręboszów - </w:t>
            </w:r>
          </w:p>
        </w:tc>
        <w:tc>
          <w:tcPr>
            <w:tcW w:w="1925"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c>
          <w:tcPr>
            <w:tcW w:w="1775"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680 000,00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2 000 000,00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1 520 000,00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88" w:type="dxa"/>
            <w:gridSpan w:val="2"/>
            <w:tcBorders>
              <w:top w:val="single" w:sz="2"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r>
    </w:tbl>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r>
    </w:p>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10886"/>
        <w:gridCol w:w="10886"/>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23811" w:h="16838" w:orient="landscape"/>
          <w:pgMar w:top="992" w:right="1020" w:bottom="992" w:left="1020" w:header="708" w:footer="708" w:gutter="0"/>
          <w:pgNumType w:start="1"/>
          <w:cols w:space="708"/>
          <w:docGrid w:linePitch="360"/>
        </w:sectPr>
      </w:pP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right"/>
        <w:rPr>
          <w:b/>
          <w:szCs w:val="20"/>
        </w:rPr>
      </w:pPr>
      <w:r>
        <w:rPr>
          <w:szCs w:val="20"/>
        </w:rPr>
        <w:t xml:space="preserve">Załącznik nr </w:t>
      </w:r>
      <w:r>
        <w:rPr>
          <w:szCs w:val="20"/>
        </w:rPr>
        <w:t>3</w:t>
      </w:r>
      <w:r>
        <w:rPr>
          <w:szCs w:val="20"/>
        </w:rPr>
        <w:t> do uchwały nr XX/145/2025</w:t>
        <w:br/>
        <w:t>Rady Gminy Gręboszów</w:t>
        <w:br/>
        <w:t>z dnia</w:t>
      </w:r>
      <w:r>
        <w:rPr>
          <w:szCs w:val="20"/>
        </w:rPr>
        <w:t xml:space="preserve"> </w:t>
      </w:r>
      <w:r>
        <w:rPr>
          <w:szCs w:val="20"/>
        </w:rPr>
        <w:t>30 grudnia</w:t>
      </w:r>
      <w:r>
        <w:rPr>
          <w:szCs w:val="20"/>
        </w:rPr>
        <w:t xml:space="preserve"> </w:t>
      </w:r>
      <w:r>
        <w:rPr>
          <w:szCs w:val="20"/>
        </w:rPr>
        <w:t>2025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b/>
          <w:szCs w:val="20"/>
        </w:rPr>
      </w:pP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color w:val="000000"/>
          <w:szCs w:val="20"/>
          <w:u w:color="00000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color w:val="000000"/>
          <w:szCs w:val="20"/>
          <w:u w:color="000000"/>
        </w:rPr>
      </w:pPr>
      <w:r>
        <w:rPr>
          <w:b/>
          <w:color w:val="000000"/>
          <w:szCs w:val="20"/>
          <w:u w:color="000000"/>
        </w:rPr>
        <w:t>Objaśnienia przyjętych wartości do Wieloletniej Prognozy Finansowej Gminy Gręboszów na lata 2026-2031</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Obowiązek sporządzenia Wieloletniej Prognozy Finansowej jest jedną z zasadniczych zmian wprowadzonych ustawą z dnia 27 sierpnia 2009 r</w:t>
      </w:r>
      <w:r>
        <w:rPr>
          <w:color w:val="000000"/>
          <w:szCs w:val="20"/>
          <w:u w:color="000000"/>
        </w:rPr>
        <w:t>.</w:t>
      </w:r>
      <w:r>
        <w:rPr>
          <w:color w:val="000000"/>
          <w:szCs w:val="20"/>
          <w:u w:color="000000"/>
        </w:rPr>
        <w:t xml:space="preserve">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Wieloletniej Prognozie Finansowej Gminy Gręboszów zastosowano wzory załączników (załącznik nr 1 oraz załącznik nr 2 do uchwały) zgodnie z </w:t>
      </w:r>
      <w:r>
        <w:rPr>
          <w:color w:val="000000"/>
          <w:szCs w:val="20"/>
          <w:u w:color="000000"/>
        </w:rPr>
        <w:t>r</w:t>
      </w:r>
      <w:r>
        <w:rPr>
          <w:color w:val="000000"/>
          <w:szCs w:val="20"/>
          <w:u w:color="000000"/>
        </w:rPr>
        <w:t>ozporządzeniem Ministra Finansów z dnia 10 stycznia 2013 r</w:t>
      </w:r>
      <w:r>
        <w:rPr>
          <w:color w:val="000000"/>
          <w:szCs w:val="20"/>
          <w:u w:color="000000"/>
        </w:rPr>
        <w:t>.</w:t>
      </w:r>
      <w:r>
        <w:rPr>
          <w:color w:val="000000"/>
          <w:szCs w:val="20"/>
          <w:u w:color="000000"/>
        </w:rPr>
        <w:t xml:space="preserve"> w sprawie wieloletniej prognozy finansowej jednostki samorządu terytorialnego (Dz. U. 2021</w:t>
      </w:r>
      <w:r>
        <w:rPr>
          <w:color w:val="000000"/>
          <w:szCs w:val="20"/>
          <w:u w:color="000000"/>
        </w:rPr>
        <w:t xml:space="preserve"> r. </w:t>
      </w:r>
      <w:r>
        <w:rPr>
          <w:color w:val="000000"/>
          <w:szCs w:val="20"/>
          <w:u w:color="000000"/>
        </w:rPr>
        <w:t> poz. 83).</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xml:space="preserve">Podstawą opracowania Wieloletniej Prognozy Finansowej Gminy Gręboszów jest projekt uchwały budżetowej na 2026 rok, wartości planowane na koniec III kwartału 2025 roku, dane sprawozdawcze z wykonania budżetu Gminy Gręboszów za lata 2024 i 2023 oraz </w:t>
      </w:r>
      <w:r>
        <w:rPr>
          <w:color w:val="000000"/>
          <w:szCs w:val="20"/>
          <w:u w:color="000000"/>
        </w:rPr>
        <w:t>w</w:t>
      </w:r>
      <w:r>
        <w:rPr>
          <w:color w:val="000000"/>
          <w:szCs w:val="20"/>
          <w:u w:color="000000"/>
        </w:rPr>
        <w:t>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Gręboszów na dzień przygotowania projektu, z uwzględnieniem korekt w zakresie rzeczywistego wykonania budżetu w 2025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Art. 227 ust. 1 ustawy z dnia 27 sierpnia 2009 r</w:t>
      </w:r>
      <w:r>
        <w:rPr>
          <w:color w:val="000000"/>
          <w:szCs w:val="20"/>
          <w:u w:color="000000"/>
        </w:rPr>
        <w:t>.</w:t>
      </w:r>
      <w:r>
        <w:rPr>
          <w:color w:val="000000"/>
          <w:szCs w:val="20"/>
          <w:u w:color="000000"/>
        </w:rPr>
        <w:t xml:space="preserve"> o finansach publicznych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Na dzień podjęcia uchwały, spłatę zobowiązań przewiduje się do roku 2031. Kwoty wydatków wynikające z limitów wydatków na przedsięwzięcia nie wykraczają poza okres prognozy kwoty długu. W związku z powyższym, Wieloletnia Prognoza Finansowa Gminy Gręboszów została przygotowana na lata 2026-2031.</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Założenia makroekonomiczne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Przy opracowaniu prognozy pozycji budżetowych Gminy Gręboszów wykorzystano trzy podstawowe mierniki koniunktury gospodarczej – dynamikę realnej PKB, dynamikę średniorocznej inflacji (CPI) oraz dynamikę realnego wynagrodzenia brutto w gospodarce narodowej. Na ich podstawie oszacowano wartości dochodów i wydatków Gminy Gręboszów, co dzięki konstrukcji i zaawansowanym metodom dokonywania obliczeń, pozwoli realizować w przyszłości właściwą politykę finansową jednostki.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Zgodnie z zaleceniami Ministra Finansów, prognozę wskazanych pozycji oparto o </w:t>
      </w:r>
      <w:r>
        <w:rPr>
          <w:color w:val="000000"/>
          <w:szCs w:val="20"/>
          <w:u w:color="000000"/>
        </w:rPr>
        <w:t>w</w:t>
      </w:r>
      <w:r>
        <w:rPr>
          <w:color w:val="000000"/>
          <w:szCs w:val="20"/>
          <w:u w:color="000000"/>
        </w:rPr>
        <w:t>ytyczne dotyczące stosowania jednolitych wskaźników makroekonomicznych będących podstawą oszacowania skutków finansowych projektowanych ustaw. Ostatnia dostępna aktualizacja ww. wytycznych miała miejsce 21 lipca 2025 r., a dane wynikające z powołanego dokumentu prezentuje tabela poniżej.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Dane makroekonomiczne przyjęte do wyliczeń prognozy</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520"/>
        <w:gridCol w:w="2520"/>
        <w:gridCol w:w="2521"/>
        <w:gridCol w:w="2521"/>
      </w:tblGrid>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Rok</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Dynamika realna PKB</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Dynamika średnioroczna inflacji (CPI)</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Dynamika realnego wynagrodzenia brutto w gospodarce narodowej</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2027</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2,60%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6,20%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2028</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2,90%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2,50%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6,20%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2,80%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2,40%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2,70%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2,50%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3,40%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2,50%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2,50%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3,30%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Wytyczne dotyczące stosowania jednolitych wskaźników makroekonomicznych będących podstawą oszacowania skutków finansowych projektowanych ustaw. Aktualizacja – 21 lipca 2025 r. (www.mf.gov.pl), Warszawa 2025.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Prognozę oparto o następujące założenia: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t>
      </w:r>
      <w:r>
        <w:rPr>
          <w:color w:val="000000"/>
          <w:szCs w:val="20"/>
          <w:u w:color="000000"/>
        </w:rPr>
        <w:t>dla roku 2026 przyjęto wartości wynikające z projektu budżetu;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xml:space="preserve">) </w:t>
      </w:r>
      <w:r>
        <w:rPr>
          <w:color w:val="000000"/>
          <w:szCs w:val="20"/>
          <w:u w:color="000000"/>
        </w:rPr>
        <w:t>dla lat 2027-2031 prognozę wykonano poprzez indeksację o wskaźniki: dynamiki średniorocznej inflacji (CPI), dynamiki realnej PKB oraz dynamiki realnej wynagrodzeń brutto w gospodarce narodowej.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Podzielenie prognozy w powyższy sposób pozwala na realną ocenę możliwości inwestycyjno-kredytowych Gminy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Zgodnie z przyjętym założeniem, dochody i wydatki bieżące w roku 2026 uwzględnione w WPF wynikają z wartości zawartych w projekcie budżetu na 2026 rok. Od 2027</w:t>
      </w:r>
      <w:r>
        <w:rPr>
          <w:color w:val="000000"/>
          <w:szCs w:val="20"/>
          <w:u w:color="000000"/>
        </w:rPr>
        <w:t>,</w:t>
      </w:r>
      <w:r>
        <w:rPr>
          <w:color w:val="000000"/>
          <w:szCs w:val="20"/>
          <w:u w:color="000000"/>
        </w:rPr>
        <w:t> roku dochody i wydatki bieżące ustalono za pomocą wskaźników inflacji, wskaźnika dynamiki PKB oraz wskaźnika dynamiki realnej wynagrodzeń brutto. W tym celu, posłużono się metodą indeksacji wartości bazowych o odpowiednio przypisany dla każdej kategorii budżetowej wskaźnik. Waga zmiennej makroekonomicznej oznacza w jakim stopniu dochody lub wydatki zależą od poziomu wskaźnika z danego roku. Indeksowana zostaje wartość na rok przyszły.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Sposób indeksacji za pomocą wag przedstawia poniższy wzór: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drawing>
          <wp:inline>
            <wp:extent cx="4177030" cy="46736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stretch>
                      <a:fillRect/>
                    </a:stretch>
                  </pic:blipFill>
                  <pic:spPr>
                    <a:xfrm>
                      <a:off x="0" y="0"/>
                      <a:ext cx="4177030" cy="467360"/>
                    </a:xfrm>
                    <a:prstGeom prst="rect">
                      <a:avLst/>
                    </a:prstGeom>
                    <a:noFill/>
                  </pic:spPr>
                </pic:pic>
              </a:graphicData>
            </a:graphic>
          </wp:inline>
        </w:drawing>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gdzie: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drawing>
          <wp:inline>
            <wp:extent cx="228600" cy="3244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stretch>
                      <a:fillRect/>
                    </a:stretch>
                  </pic:blipFill>
                  <pic:spPr>
                    <a:xfrm>
                      <a:off x="0" y="0"/>
                      <a:ext cx="228600" cy="324485"/>
                    </a:xfrm>
                    <a:prstGeom prst="rect">
                      <a:avLst/>
                    </a:prstGeom>
                    <a:noFill/>
                  </pic:spPr>
                </pic:pic>
              </a:graphicData>
            </a:graphic>
          </wp:inline>
        </w:drawing>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wartość prognozowana danej kategorii dochodów bądź wydatków budżetowych;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drawing>
          <wp:inline>
            <wp:extent cx="238125" cy="32448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10"/>
                    <a:stretch>
                      <a:fillRect/>
                    </a:stretch>
                  </pic:blipFill>
                  <pic:spPr>
                    <a:xfrm>
                      <a:off x="0" y="0"/>
                      <a:ext cx="238125" cy="324485"/>
                    </a:xfrm>
                    <a:prstGeom prst="rect">
                      <a:avLst/>
                    </a:prstGeom>
                    <a:noFill/>
                  </pic:spPr>
                </pic:pic>
              </a:graphicData>
            </a:graphic>
          </wp:inline>
        </w:drawing>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wartość danej kategorii dochodów bądź wydatków budżetowych w roku poprzedzającym;</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drawing>
          <wp:inline>
            <wp:extent cx="2050415" cy="32448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1"/>
                    <a:stretch>
                      <a:fillRect/>
                    </a:stretch>
                  </pic:blipFill>
                  <pic:spPr>
                    <a:xfrm>
                      <a:off x="0" y="0"/>
                      <a:ext cx="2050415" cy="324485"/>
                    </a:xfrm>
                    <a:prstGeom prst="rect">
                      <a:avLst/>
                    </a:prstGeom>
                    <a:noFill/>
                  </pic:spPr>
                </pic:pic>
              </a:graphicData>
            </a:graphic>
          </wp:inline>
        </w:drawing>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waga wskaźnika PKB przemnożona przez wskaźnik PKB w danym roku;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drawing>
          <wp:inline>
            <wp:extent cx="1754505" cy="32448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2"/>
                    <a:stretch>
                      <a:fillRect/>
                    </a:stretch>
                  </pic:blipFill>
                  <pic:spPr>
                    <a:xfrm>
                      <a:off x="0" y="0"/>
                      <a:ext cx="1754505" cy="324485"/>
                    </a:xfrm>
                    <a:prstGeom prst="rect">
                      <a:avLst/>
                    </a:prstGeom>
                    <a:noFill/>
                  </pic:spPr>
                </pic:pic>
              </a:graphicData>
            </a:graphic>
          </wp:inline>
        </w:drawing>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waga wskaźnika inflacji przemnożona przez wskaźnik inflacji w danym roku;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drawing>
          <wp:inline>
            <wp:extent cx="2240915" cy="32448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3"/>
                    <a:stretch>
                      <a:fillRect/>
                    </a:stretch>
                  </pic:blipFill>
                  <pic:spPr>
                    <a:xfrm>
                      <a:off x="0" y="0"/>
                      <a:ext cx="2240915" cy="324485"/>
                    </a:xfrm>
                    <a:prstGeom prst="rect">
                      <a:avLst/>
                    </a:prstGeom>
                    <a:noFill/>
                  </pic:spPr>
                </pic:pic>
              </a:graphicData>
            </a:graphic>
          </wp:inline>
        </w:drawing>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waga wskaźnika dynamiki realnej wynagrodzeń przemnożona przez wskaźnik dynamiki realnej wynagrodzeń w danym roku;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drawing>
          <wp:inline>
            <wp:extent cx="152400" cy="32448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4"/>
                    <a:stretch>
                      <a:fillRect/>
                    </a:stretch>
                  </pic:blipFill>
                  <pic:spPr>
                    <a:xfrm>
                      <a:off x="0" y="0"/>
                      <a:ext cx="152400" cy="324485"/>
                    </a:xfrm>
                    <a:prstGeom prst="rect">
                      <a:avLst/>
                    </a:prstGeom>
                    <a:noFill/>
                  </pic:spPr>
                </pic:pic>
              </a:graphicData>
            </a:graphic>
          </wp:inline>
        </w:drawing>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współczynnik stałego wzrostu.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1. Dochody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Prognozy dochodów Gminy Gręboszów dokonano w podziałach merytorycznych, a następnie sklasyfikowano w podziały wymagane ustawowo. Podział merytoryczny został sporządzony za pomocą paragrafów klasyfikacji budżetowej i objął dochody bieżące i majątkowe.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Dochody bieżące prognozowano w podziale na: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t>
      </w:r>
      <w:r>
        <w:rPr>
          <w:color w:val="000000"/>
          <w:szCs w:val="20"/>
          <w:u w:color="000000"/>
        </w:rPr>
        <w:t>dochody z tytułu udziału we wpływach z podatku dochodowego od osób fizycznych;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xml:space="preserve">) </w:t>
      </w:r>
      <w:r>
        <w:rPr>
          <w:color w:val="000000"/>
          <w:szCs w:val="20"/>
          <w:u w:color="000000"/>
        </w:rPr>
        <w:t>dochody z tytułu udziału we wpływach z podatku dochodowego od osób prawnych;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w:t>
      </w:r>
      <w:r>
        <w:rPr>
          <w:color w:val="000000"/>
          <w:szCs w:val="20"/>
          <w:u w:color="000000"/>
        </w:rPr>
        <w:t xml:space="preserve">) </w:t>
      </w:r>
      <w:r>
        <w:rPr>
          <w:color w:val="000000"/>
          <w:szCs w:val="20"/>
          <w:u w:color="000000"/>
        </w:rPr>
        <w:t>subwencję ogólną;</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4</w:t>
      </w:r>
      <w:r>
        <w:rPr>
          <w:color w:val="000000"/>
          <w:szCs w:val="20"/>
          <w:u w:color="000000"/>
        </w:rPr>
        <w:t>)</w:t>
      </w:r>
      <w:r>
        <w:rPr>
          <w:color w:val="000000"/>
          <w:szCs w:val="20"/>
          <w:u w:color="000000"/>
        </w:rPr>
        <w:t>dotacje i środki przeznaczone na cele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5</w:t>
      </w:r>
      <w:r>
        <w:rPr>
          <w:color w:val="000000"/>
          <w:szCs w:val="20"/>
          <w:u w:color="000000"/>
        </w:rPr>
        <w:t xml:space="preserve">) </w:t>
      </w:r>
      <w:r>
        <w:rPr>
          <w:color w:val="000000"/>
          <w:szCs w:val="20"/>
          <w:u w:color="000000"/>
        </w:rPr>
        <w:t>pozostałe dochody (m. in.: podatki i opłaty lokalne, grzywny i kary pieniężne, wpływy z usług, odsetki od środków na rachunkach bankowych), w tym: z podatku od nieruchomości.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Dochody majątkowe prognozowano w podziale na: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t>
      </w:r>
      <w:r>
        <w:rPr>
          <w:color w:val="000000"/>
          <w:szCs w:val="20"/>
          <w:u w:color="000000"/>
        </w:rPr>
        <w:t>dochody ze sprzedaży majątku;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xml:space="preserve">) </w:t>
      </w:r>
      <w:r>
        <w:rPr>
          <w:color w:val="000000"/>
          <w:szCs w:val="20"/>
          <w:u w:color="000000"/>
        </w:rPr>
        <w:t>dotacje i środki przeznaczone na inwestycje.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1.1. Dochody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Uwzględniając dotychczasowe kształtowanie się dochodów budżetu Gminy Gręboszów oraz przewidywania na następne lata, w poszczególnych kategoriach dochodów bieżących posłużono się metodą indeksacji wartości bazowych o odpowiednio przypisany dla każdej kategorii budżetowej wskaźnik.</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Podatek od nieruchomości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planowane na 2026 r. stawki podatku od nieruchomości oraz zasób nieruchomości Gminy Gręboszów, który stanowi przedmiot opodatkowania. Wysokość wpływów z podatku od nieruchomości na 2026 r. ustalono więc na poziomie 2 750 000,00 zł, co stanowi 92,91% dochodów z tego tytułu planowanych do uzyskania na koniec 2025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Udział w podatkach centralnych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 zgodnie z wagami przedstawionymi w tabeli powyżej.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Subwencje i dotacje na zadania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Planowaną kwotę subwencji ogólnej oraz dotacji celowych z budżetu państwa (innych niż środki na dofinansowanie realizacji projektów europejskich) na 2026 rok</w:t>
      </w:r>
      <w:r>
        <w:rPr>
          <w:color w:val="000000"/>
          <w:szCs w:val="20"/>
          <w:u w:color="000000"/>
        </w:rPr>
        <w:t>,</w:t>
      </w:r>
      <w:r>
        <w:rPr>
          <w:color w:val="000000"/>
          <w:szCs w:val="20"/>
          <w:u w:color="000000"/>
        </w:rPr>
        <w:t xml:space="preserve"> przyjęto w oparciu o informacje przekazane przez Ministra Finansów. W kolejnych latach prognozy założono wzrost kwoty otrzymywanych dotychczas cyklicznych subwencji i dotacji celowych z budżetu państwa w oparciu o prognozowane wskaźniki makroekonomiczne, zgodnie z wagami przedstawionymi w tabeli powyżej.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1.2. Dochody majątkowe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2026 roku dochody ze sprzedaży majątku zaplanowano na poziomie 341 594,39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2026 roku dochodów ze sprzedaży ma zapewnić sprzedaż nieruchomości, których wykaz zaprezentowano w poniższej tabeli.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br w:type="page"/>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Wykaz nieruchomości planowanych do sprzedaży w 2026 roku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205"/>
        <w:gridCol w:w="2088"/>
        <w:gridCol w:w="2244"/>
        <w:gridCol w:w="2545"/>
      </w:tblGrid>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Położenie nieruchomości</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 xml:space="preserve">Nr działki </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Wartość netto</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Planowany dochód</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Wola Żelichowska</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 xml:space="preserve">461/2 </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20.000,00 zł</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20 000,00 zł</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Wola Gręboszowska</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 xml:space="preserve">142/3 </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6 000,00 zł</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6 000,00 zł</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Wola Żelichowska (szkoła) wraz z działkami przyległymi</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316/7, 316/2 i 316/6</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705 130,00 zł</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315 594,39 zł</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Gręboszów (GOPS)</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612/1</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551 760,00</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Hubenice (szkoła)</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222</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475 970,00</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Razem</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1 758 860,00</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341 594,39</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2026 r</w:t>
      </w:r>
      <w:r>
        <w:rPr>
          <w:color w:val="000000"/>
          <w:szCs w:val="20"/>
          <w:u w:color="000000"/>
        </w:rPr>
        <w:t>.</w:t>
      </w:r>
      <w:r>
        <w:rPr>
          <w:color w:val="000000"/>
          <w:szCs w:val="20"/>
          <w:u w:color="000000"/>
        </w:rPr>
        <w:t xml:space="preserve"> zaplanowano dotacje oraz środki przeznaczone na inwestycje w wysokości 7 608 405,61 zł, które wiążą się z uzyskaniem bezzwrotnego dofinansowania na realizację zadań przedstawionych</w:t>
      </w:r>
      <w:r>
        <w:rPr>
          <w:color w:val="000000"/>
          <w:szCs w:val="20"/>
          <w:u w:color="000000"/>
        </w:rPr>
        <w:t>,</w:t>
      </w:r>
      <w:r>
        <w:rPr>
          <w:color w:val="000000"/>
          <w:szCs w:val="20"/>
          <w:u w:color="000000"/>
        </w:rPr>
        <w:t xml:space="preserve"> m.in. w załączniku nr 2 do Wieloletniej Prognozy Finansowej.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Dotacje oraz środki na inwestycje zaplanowano również w latach 2027, 2028, 2029, 2030</w:t>
      </w:r>
      <w:r>
        <w:rPr>
          <w:color w:val="000000"/>
          <w:szCs w:val="20"/>
          <w:u w:color="000000"/>
        </w:rPr>
        <w:t xml:space="preserve"> i </w:t>
      </w:r>
      <w:r>
        <w:rPr>
          <w:color w:val="000000"/>
          <w:szCs w:val="20"/>
          <w:u w:color="000000"/>
        </w:rPr>
        <w:t>2031</w:t>
      </w:r>
      <w:r>
        <w:rPr>
          <w:color w:val="000000"/>
          <w:szCs w:val="20"/>
          <w:u w:color="000000"/>
        </w:rPr>
        <w:t>,</w:t>
      </w:r>
      <w:r>
        <w:rPr>
          <w:color w:val="000000"/>
          <w:szCs w:val="20"/>
          <w:u w:color="000000"/>
        </w:rPr>
        <w:t> w łącznej kwocie 5 198 720,00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2. Wydatki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Prognozy wydatków Gminy Gręboszów dokonano w podziale na kategorie wydatków bieżących i wydatków majątkowych.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2.1. Wydatki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t>
      </w:r>
      <w:r>
        <w:rPr>
          <w:color w:val="000000"/>
          <w:szCs w:val="20"/>
          <w:u w:color="000000"/>
        </w:rPr>
        <w:t>wynagrodzenia i składki od nich naliczane;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xml:space="preserve">) </w:t>
      </w:r>
      <w:r>
        <w:rPr>
          <w:color w:val="000000"/>
          <w:szCs w:val="20"/>
          <w:u w:color="000000"/>
        </w:rPr>
        <w:t>wydatki związane z obsługą zadłużenia, w tym odsetki i dyskonto;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w:t>
      </w:r>
      <w:r>
        <w:rPr>
          <w:color w:val="000000"/>
          <w:szCs w:val="20"/>
          <w:u w:color="000000"/>
        </w:rPr>
        <w:t xml:space="preserve">) </w:t>
      </w:r>
      <w:r>
        <w:rPr>
          <w:color w:val="000000"/>
          <w:szCs w:val="20"/>
          <w:u w:color="000000"/>
        </w:rPr>
        <w:t>pozostałe wydatki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Uwzględniając dotychczasowe kształtowanie się wydatków budżetu Gminy Gręboszów oraz przewidywania na następne lata, w poszczególnych kategoriach wydatków bieżących posłużono się metodą indeksacji wartości bazowych o odpowiednio przypisany dla każdej kategorii budżetowej wskaźnik makroekonomiczny.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Wynagrodzenia i pochodne od wynagrodzeń</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Zgodnie z założeniami przyjętymi przy prognozie dochodów, dla wydatków bieżących w roku 2026 przyjęto wartości wynikające z projektu budżetu. W 2026 r. w budżecie Gminy Gręboszów wydatki na wynagrodzenia pochodne od wynagrodzeń zabezpieczono w wysokości 11 187 236,00 zł, co stanowi zmianę w stosunku do przewidywanego wykonania na koniec 2025 r. o kwotę 1 177 588,96 zł. W latach 2027-2031 dokonano indeksacji wydatków na wynagrodzenia i pochodne od wynagrodzeń w oparciu o wagi wskaźników makroekonomicznych.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Poręczenia i gwarancje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okresie prognozy Gmina Gręboszów nie planuje wydatków z tytułu poręczeń i gwarancji.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Odsetki i dyskonto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Prognoza na lata po 2026 r. jest oparta na scenariuszu stabilnego rozwoju makroekonomicznego Polski. Jako, że stawka WIBOR jest ściśle skorelowana ze stopami procentowymi NBP oraz ogólną sytuacją na rynku międzybankowym, przyjęto, że od 2027 r</w:t>
      </w:r>
      <w:r>
        <w:rPr>
          <w:color w:val="000000"/>
          <w:szCs w:val="20"/>
          <w:u w:color="000000"/>
        </w:rPr>
        <w:t>.</w:t>
      </w:r>
      <w:r>
        <w:rPr>
          <w:color w:val="000000"/>
          <w:szCs w:val="20"/>
          <w:u w:color="000000"/>
        </w:rPr>
        <w:t xml:space="preserve">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Dodatkowo, w prognozie WPF uwzględniono również koszty obsługi zobowiązania planowanego do zaciągnięcia.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Pozostałe wydatki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prognozie WPF pozostałe wydatki bieżące zostały skalkulowane w oparciu o indeksację o wskaźnik inflacji, zgodnie z założeniami przedstawionymi w tabeli powyżej.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2.2. Wydatki majątkowe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Wydatki majątkowe obejmują przede wszystkim przedsięwzięcia inwestycyjne, które ujęto w załączniku nr 2 do Wieloletniej Prognozy Finansowej Gminy Gręboszów na lata 2026-2031.</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3. Wynik budżetu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Wynik budżetu w prognozowanym okresie jest ściśle powiązany z przyjętymi założeniami do prognozy dochodów i wydatków.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budżecie na 2026 r. zaplanowano ujemną różnicę pomiędzy dochodami i wydatkami budżetowymi. Wynik budżetu planuje się na poziomie 3 000 000,00 zł deficytu, a jego pokrycie planuje się z:</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t>
      </w:r>
      <w:r>
        <w:rPr>
          <w:color w:val="000000"/>
          <w:szCs w:val="20"/>
          <w:u w:color="000000"/>
        </w:rPr>
        <w:t>kredytów, pożyczek na wyprzedzające finansowania zadań dofinansowanych ze środków UE – 3 000 000,00 zł</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Fakt prognozowania w oparciu o dane makroekonomiczne o niewielkiej zmienności powoduje zrównoważony i stabilny wzrost dochodów oraz wydatków bieżących, któremu można przypisać cechy statystyczne.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Wynik budżetu Gminy Gręboszów</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520"/>
        <w:gridCol w:w="2520"/>
        <w:gridCol w:w="2521"/>
        <w:gridCol w:w="2521"/>
      </w:tblGrid>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Rok</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Dochody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Wydatki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Wynik budżetu [zł]</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2026</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28 000 000,00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2027</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26 671 055,00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24 271 055,00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2 400 000,00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2028</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24 994 645,00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22 594 645,00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2 400 000,00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25 335 695,00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23 135 695,00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2 200 000,00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24 774 087,00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23 774 087,00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25 525 909,00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24 525 909,00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1 000 000,00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xml:space="preserve">W okresie prognozy zaplanowano </w:t>
      </w:r>
      <w:r>
        <w:rPr>
          <w:color w:val="000000"/>
          <w:szCs w:val="20"/>
          <w:u w:color="000000"/>
        </w:rPr>
        <w:t xml:space="preserve">nadwyżkę budżetu </w:t>
      </w:r>
      <w:r>
        <w:rPr>
          <w:color w:val="000000"/>
          <w:szCs w:val="20"/>
          <w:u w:color="000000"/>
        </w:rPr>
        <w:t>w latach 202</w:t>
      </w:r>
      <w:r>
        <w:rPr>
          <w:color w:val="000000"/>
          <w:szCs w:val="20"/>
          <w:u w:color="000000"/>
        </w:rPr>
        <w:t>7 -</w:t>
      </w:r>
      <w:r>
        <w:rPr>
          <w:color w:val="000000"/>
          <w:szCs w:val="20"/>
          <w:u w:color="000000"/>
        </w:rPr>
        <w:t xml:space="preserve"> 203</w:t>
      </w:r>
      <w:r>
        <w:rPr>
          <w:color w:val="000000"/>
          <w:szCs w:val="20"/>
          <w:u w:color="000000"/>
        </w:rPr>
        <w:t>1</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4. Przychody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okresie objętym prognozą zaplanowano przychody budżetowe.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roku budżetowym przychody zaplanowano na poziomie 4 000 000,00 zł. Przychody Gminy Gręboszów w 2026 r. obejmują:</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t>
      </w:r>
      <w:r>
        <w:rPr>
          <w:color w:val="000000"/>
          <w:szCs w:val="20"/>
          <w:u w:color="000000"/>
        </w:rPr>
        <w:t>kredyty, pożyczki lub emisję papierów wartościowych – 4 000 000,00 zł</w:t>
      </w:r>
      <w:r>
        <w:rPr>
          <w:color w:val="000000"/>
          <w:szCs w:val="20"/>
          <w:u w:color="000000"/>
        </w:rPr>
        <w:t>,</w:t>
      </w:r>
      <w:r>
        <w:rPr>
          <w:color w:val="000000"/>
          <w:szCs w:val="20"/>
          <w:u w:color="000000"/>
        </w:rPr>
        <w:t xml:space="preserve"> w tym na:</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 xml:space="preserve">a) pożyczki na wyprzedzające finansowanie zadań z udziałem środków UE </w:t>
      </w:r>
      <w:r>
        <w:rPr>
          <w:color w:val="000000"/>
          <w:szCs w:val="20"/>
          <w:u w:color="000000"/>
        </w:rPr>
        <w:t xml:space="preserve">- </w:t>
      </w:r>
      <w:r>
        <w:rPr>
          <w:color w:val="000000"/>
          <w:szCs w:val="20"/>
          <w:u w:color="000000"/>
        </w:rPr>
        <w:t>3 000 000,00 zł</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spłatę wcześniej zaciągniętych zobowiązań 1 000 000,00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5. Rozchody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roku budżetowym oraz w okresie prognozy planuje się rozchody budżetowe. Rozchody Gminy Gręboszów obejmują spłaty rat kapitałowych kredytów i pożyczek.</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zakresie zawartych umów, rozchody Gminy Gręboszów zaplanowano zgodnie z harmonogramami. W tabeli poniżej spłatę ww. zobowiązań przedstawiono w kolumnie „Zobowiązanie historyczne”.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Spłatę zobowiązania planowanego do zaciągnięcia w 2026 r. ujęto w latach 2027-2029. W tabeli poniżej spłatę ww. zobowiązań przedstawiono w kolumnie „Nowe zobowiązanie”.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br w:type="page"/>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Spłata zaciągniętych i planowanych zobowiązań Gminy Gręboszów</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365"/>
        <w:gridCol w:w="2377"/>
        <w:gridCol w:w="1776"/>
        <w:gridCol w:w="1776"/>
        <w:gridCol w:w="1788"/>
      </w:tblGrid>
      <w:tr>
        <w:tblPrEx>
          <w:tblW w:w="5000" w:type="pct"/>
          <w:tblLayout w:type="fixed"/>
        </w:tblPrEx>
        <w:tc>
          <w:tcPr>
            <w:tcW w:w="23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Rok</w:t>
            </w:r>
          </w:p>
        </w:tc>
        <w:tc>
          <w:tcPr>
            <w:tcW w:w="23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Zobowiązanie historyczne [zł]</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Zobowiązanie planowane [zł]</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top"/>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Nowe zobowiązanie (zł)</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Zobowiązania razem [zł]</w:t>
            </w:r>
          </w:p>
        </w:tc>
      </w:tr>
      <w:tr>
        <w:tblPrEx>
          <w:tblW w:w="5000" w:type="pct"/>
          <w:tblLayout w:type="fixed"/>
        </w:tblPrEx>
        <w:tc>
          <w:tcPr>
            <w:tcW w:w="23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2026</w:t>
            </w:r>
          </w:p>
        </w:tc>
        <w:tc>
          <w:tcPr>
            <w:tcW w:w="23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1 000 000,00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top"/>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1 000 000,00</w:t>
            </w:r>
          </w:p>
        </w:tc>
      </w:tr>
      <w:tr>
        <w:tblPrEx>
          <w:tblW w:w="5000" w:type="pct"/>
          <w:tblLayout w:type="fixed"/>
        </w:tblPrEx>
        <w:tc>
          <w:tcPr>
            <w:tcW w:w="23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2027</w:t>
            </w:r>
          </w:p>
        </w:tc>
        <w:tc>
          <w:tcPr>
            <w:tcW w:w="23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1 400 000,00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-400 000,00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top"/>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1 400 000,00</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2 400 000,00</w:t>
            </w:r>
          </w:p>
        </w:tc>
      </w:tr>
      <w:tr>
        <w:tblPrEx>
          <w:tblW w:w="5000" w:type="pct"/>
          <w:tblLayout w:type="fixed"/>
        </w:tblPrEx>
        <w:tc>
          <w:tcPr>
            <w:tcW w:w="23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2028</w:t>
            </w:r>
          </w:p>
        </w:tc>
        <w:tc>
          <w:tcPr>
            <w:tcW w:w="23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1 600 000,00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-600 000,00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top"/>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1 400 000,00</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2 400 000,00</w:t>
            </w:r>
          </w:p>
        </w:tc>
      </w:tr>
      <w:tr>
        <w:tblPrEx>
          <w:tblW w:w="5000" w:type="pct"/>
          <w:tblLayout w:type="fixed"/>
        </w:tblPrEx>
        <w:tc>
          <w:tcPr>
            <w:tcW w:w="23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2029</w:t>
            </w:r>
          </w:p>
        </w:tc>
        <w:tc>
          <w:tcPr>
            <w:tcW w:w="23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600 000,00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400 000,00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top"/>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1 200 000,00</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2 200 000,00</w:t>
            </w:r>
          </w:p>
        </w:tc>
      </w:tr>
      <w:tr>
        <w:tblPrEx>
          <w:tblW w:w="5000" w:type="pct"/>
          <w:tblLayout w:type="fixed"/>
        </w:tblPrEx>
        <w:tc>
          <w:tcPr>
            <w:tcW w:w="23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2030</w:t>
            </w:r>
          </w:p>
        </w:tc>
        <w:tc>
          <w:tcPr>
            <w:tcW w:w="23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650 000,00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350 000,00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top"/>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1 000 000,00</w:t>
            </w:r>
          </w:p>
        </w:tc>
      </w:tr>
      <w:tr>
        <w:tblPrEx>
          <w:tblW w:w="5000" w:type="pct"/>
          <w:tblLayout w:type="fixed"/>
        </w:tblPrEx>
        <w:tc>
          <w:tcPr>
            <w:tcW w:w="236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2031</w:t>
            </w:r>
          </w:p>
        </w:tc>
        <w:tc>
          <w:tcPr>
            <w:tcW w:w="23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750 000,00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250 000,00</w:t>
            </w:r>
          </w:p>
        </w:tc>
        <w:tc>
          <w:tcPr>
            <w:tcW w:w="1776" w:type="dxa"/>
            <w:tcBorders>
              <w:top w:val="single" w:sz="4" w:space="0" w:color="auto"/>
              <w:left w:val="single" w:sz="4" w:space="0" w:color="auto"/>
              <w:bottom w:val="single" w:sz="4" w:space="0" w:color="auto"/>
              <w:right w:val="single" w:sz="4" w:space="0" w:color="auto"/>
            </w:tcBorders>
            <w:noWrap w:val="0"/>
            <w:textDirection w:val="lrTb"/>
            <w:vAlign w:val="top"/>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1 000 000,00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6. Kwota długu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Na dzień 31.12.2025 r. kwota zadłużenia, wykazana w pozycji 6. Wieloletniej Prognozy Finansowej Gminy Gręboszów na lata 2026-2031, w kolumnie pomocniczej WPF „2025 przewidywane wykonanie” wynosi 6 000 000,00 zł. Na koniec 2026 r</w:t>
      </w:r>
      <w:r>
        <w:rPr>
          <w:color w:val="000000"/>
          <w:szCs w:val="20"/>
          <w:u w:color="000000"/>
        </w:rPr>
        <w:t>.</w:t>
      </w:r>
      <w:r>
        <w:rPr>
          <w:color w:val="000000"/>
          <w:szCs w:val="20"/>
          <w:u w:color="000000"/>
        </w:rPr>
        <w:t xml:space="preserve"> kwotę długu planuje się na poziomie 9 000 000,00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w:t>
      </w:r>
      <w:r>
        <w:rPr>
          <w:color w:val="000000"/>
          <w:szCs w:val="20"/>
          <w:u w:color="000000"/>
        </w:rPr>
        <w:t>.</w:t>
      </w:r>
      <w:r>
        <w:rPr>
          <w:color w:val="000000"/>
          <w:szCs w:val="20"/>
          <w:u w:color="000000"/>
        </w:rPr>
        <w:t xml:space="preserve"> wyniesie 47,70%.</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Informacja o wysokości kwoty długu w latach 2026-20</w:t>
      </w:r>
      <w:r>
        <w:rPr>
          <w:b/>
          <w:color w:val="000000"/>
          <w:szCs w:val="20"/>
          <w:u w:color="000000"/>
        </w:rPr>
        <w:t>30</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520"/>
        <w:gridCol w:w="2520"/>
        <w:gridCol w:w="2521"/>
        <w:gridCol w:w="2521"/>
      </w:tblGrid>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Rok</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Planowana kwota długu na koniec roku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Podstawa wskaźnika*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Relacja</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2026</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9 000 000,00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18 867 397,39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47,70 %</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2027</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6 600 000,00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22 503 205,00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29,33 %</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2028</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4 200 000,00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21 094 295,00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19,91 %</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 2 000 000,00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21 617 459,00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9,25 %</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22 209 145,00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4,50 %</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*dochody pomniejszone o dotacje i środki o podobnym charakterze oraz powiększone o przychody z tytułów określonych w art. 217 ust. 2 pkt 4-8 ustawy o finansach publicznych, nieprzeznaczone na sfinansowanie deficytu budżetowego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7. Relacja z art. 242 ustawy o finansach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budżecie na 2026 r. zaplanowano dodatnią różnicę pomiędzy dochodami i wydatkami bieżącymi. W związku z powyższym, Gmina Gręboszów zachowuje relację określoną w art. 242 ust. 1 ustawy o finansach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Wynik budżetu bieżącego Gminy Gręboszów</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017"/>
        <w:gridCol w:w="2017"/>
        <w:gridCol w:w="2016"/>
        <w:gridCol w:w="2016"/>
        <w:gridCol w:w="2016"/>
      </w:tblGrid>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Rok</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Dochody bieżące [zł]</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Wydatki bieżące [zł]</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Wynik budżetu bieżącego [zł]</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Wynik budżetu bieżącego, skorygowany o środki [zł]</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2026</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20 050 000,00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19 420 000,00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630 000,00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630 000,00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2027</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22 871 055,00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19 428 425,00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3 442 630,00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3 442 630,00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2028</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22 894 645,00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19 984 883,00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2 909 762,00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2 909 762,00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2029</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23 485 695,00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20 445 222,00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3 040 473,00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3 040 473,00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24 124 087,00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20 932 627,00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3 191 460,00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3 191 460,00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2031</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24 727 189,00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21 430 693,00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3 296 496,00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3 296 496,00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8. Relacja z art. 243 ustawy o finansach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Informację na temat kształtowania się relacji z art. 243 ustawy o finansach publicznych w okresie prognozy Gminy Gręboszów przedstawiono w tabeli poniżej. Kalkulację wskaźnika z art. 243 przeprowadzono w oparciu o zapisy ustawy z dnia 8 listopada 2024 r. o zmianie ustawy o finansach publicznych oraz niektórych innych ustaw (Dz. U.</w:t>
      </w:r>
      <w:r>
        <w:rPr>
          <w:color w:val="000000"/>
          <w:szCs w:val="20"/>
          <w:u w:color="000000"/>
        </w:rPr>
        <w:t xml:space="preserve"> z</w:t>
      </w:r>
      <w:r>
        <w:rPr>
          <w:color w:val="000000"/>
          <w:szCs w:val="20"/>
          <w:u w:color="000000"/>
        </w:rPr>
        <w:t xml:space="preserve"> 2024</w:t>
      </w:r>
      <w:r>
        <w:rPr>
          <w:color w:val="000000"/>
          <w:szCs w:val="20"/>
          <w:u w:color="000000"/>
        </w:rPr>
        <w:t xml:space="preserve"> r.</w:t>
      </w:r>
      <w:r>
        <w:rPr>
          <w:color w:val="000000"/>
          <w:szCs w:val="20"/>
          <w:u w:color="000000"/>
        </w:rPr>
        <w:t> poz. 1756).</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Kształtowanie się relacji z art. 243 ust. 1 ustawy o finansach publicznych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597"/>
        <w:gridCol w:w="1669"/>
        <w:gridCol w:w="1668"/>
        <w:gridCol w:w="1668"/>
        <w:gridCol w:w="1788"/>
        <w:gridCol w:w="1692"/>
      </w:tblGrid>
      <w:tr>
        <w:tblPrEx>
          <w:tblW w:w="5000" w:type="pct"/>
          <w:tblLayout w:type="fixed"/>
        </w:tblPrEx>
        <w:tc>
          <w:tcPr>
            <w:tcW w:w="159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Rok</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Obsługa zadłużenia (fakt. i plan. po wyłączeniach)</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Maksymalna obsługa zadłużenia (wg planu po III kwartale)</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Zachowanie relacji z art. 243 (w oparciu o plan po III kwartale)</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Maksymalna obsługa zadłużenia (wg przewidywanego wykonania)</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b/>
                <w:szCs w:val="20"/>
              </w:rPr>
              <w:t>Zachowanie relacji z art. 243 (w oparciu o przewidywane wykonanie)</w:t>
            </w:r>
          </w:p>
        </w:tc>
      </w:tr>
      <w:tr>
        <w:tblPrEx>
          <w:tblW w:w="5000" w:type="pct"/>
          <w:tblLayout w:type="fixed"/>
        </w:tblPrEx>
        <w:tc>
          <w:tcPr>
            <w:tcW w:w="159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2026</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6,80%</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6,80%</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6,81%</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r>
      <w:tr>
        <w:tblPrEx>
          <w:tblW w:w="5000" w:type="pct"/>
          <w:tblLayout w:type="fixed"/>
        </w:tblPrEx>
        <w:tc>
          <w:tcPr>
            <w:tcW w:w="159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2027</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5,72%</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6,65%</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6,65%</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r>
      <w:tr>
        <w:tblPrEx>
          <w:tblW w:w="5000" w:type="pct"/>
          <w:tblLayout w:type="fixed"/>
        </w:tblPrEx>
        <w:tc>
          <w:tcPr>
            <w:tcW w:w="159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2028</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5,31%</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7 92%</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7,92%</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r>
      <w:tr>
        <w:tblPrEx>
          <w:tblW w:w="5000" w:type="pct"/>
          <w:tblLayout w:type="fixed"/>
        </w:tblPrEx>
        <w:tc>
          <w:tcPr>
            <w:tcW w:w="159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2029</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4,95%</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9,05%</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9,06%</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r>
      <w:tr>
        <w:tblPrEx>
          <w:tblW w:w="5000" w:type="pct"/>
          <w:tblLayout w:type="fixed"/>
        </w:tblPrEx>
        <w:tc>
          <w:tcPr>
            <w:tcW w:w="159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2030</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4,67%</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9,29%</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9,30%</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r>
      <w:tr>
        <w:tblPrEx>
          <w:tblW w:w="5000" w:type="pct"/>
          <w:tblLayout w:type="fixed"/>
        </w:tblPrEx>
        <w:tc>
          <w:tcPr>
            <w:tcW w:w="159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2031</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4,45%</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10,71%</w:t>
            </w:r>
          </w:p>
        </w:tc>
        <w:tc>
          <w:tcPr>
            <w:tcW w:w="166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c>
          <w:tcPr>
            <w:tcW w:w="17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10,71%</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szCs w:val="20"/>
              </w:rPr>
              <w:t>TAK</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Dane zawarte w tabeli wskazują, że w roku 2026 Gmina Gręboszów spełnia relac</w:t>
      </w:r>
      <w:r>
        <w:rPr>
          <w:color w:val="000000"/>
          <w:szCs w:val="20"/>
          <w:u w:color="000000"/>
        </w:rPr>
        <w:t>ę</w:t>
      </w:r>
      <w:r>
        <w:rPr>
          <w:color w:val="000000"/>
          <w:szCs w:val="20"/>
          <w:u w:color="000000"/>
        </w:rPr>
        <w:t xml:space="preserve"> z art. 243 ust. 1 ustawy o finansach publicznych. Wskazać przy tym należy, że 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·2026 roku</w:t>
      </w:r>
      <w:r>
        <w:rPr>
          <w:color w:val="000000"/>
          <w:szCs w:val="20"/>
          <w:u w:color="000000"/>
        </w:rPr>
        <w:t>,</w:t>
      </w:r>
      <w:r>
        <w:rPr>
          <w:color w:val="000000"/>
          <w:szCs w:val="20"/>
          <w:u w:color="000000"/>
        </w:rPr>
        <w:t xml:space="preserve"> wyniesie 47,70%;</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·2027 roku</w:t>
      </w:r>
      <w:r>
        <w:rPr>
          <w:color w:val="000000"/>
          <w:szCs w:val="20"/>
          <w:u w:color="000000"/>
        </w:rPr>
        <w:t>,</w:t>
      </w:r>
      <w:r>
        <w:rPr>
          <w:color w:val="000000"/>
          <w:szCs w:val="20"/>
          <w:u w:color="000000"/>
        </w:rPr>
        <w:t xml:space="preserve"> wyniesie 29,33%;</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·2028 roku</w:t>
      </w:r>
      <w:r>
        <w:rPr>
          <w:color w:val="000000"/>
          <w:szCs w:val="20"/>
          <w:u w:color="000000"/>
        </w:rPr>
        <w:t>,</w:t>
      </w:r>
      <w:r>
        <w:rPr>
          <w:color w:val="000000"/>
          <w:szCs w:val="20"/>
          <w:u w:color="000000"/>
        </w:rPr>
        <w:t xml:space="preserve"> wyniesie 19,91%;</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·2029 roku</w:t>
      </w:r>
      <w:r>
        <w:rPr>
          <w:color w:val="000000"/>
          <w:szCs w:val="20"/>
          <w:u w:color="000000"/>
        </w:rPr>
        <w:t>,</w:t>
      </w:r>
      <w:r>
        <w:rPr>
          <w:color w:val="000000"/>
          <w:szCs w:val="20"/>
          <w:u w:color="000000"/>
        </w:rPr>
        <w:t xml:space="preserve"> wyniesie 9,25%;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·2030 roku</w:t>
      </w:r>
      <w:r>
        <w:rPr>
          <w:color w:val="000000"/>
          <w:szCs w:val="20"/>
          <w:u w:color="000000"/>
        </w:rPr>
        <w:t>,</w:t>
      </w:r>
      <w:r>
        <w:rPr>
          <w:color w:val="000000"/>
          <w:szCs w:val="20"/>
          <w:u w:color="000000"/>
        </w:rPr>
        <w:t xml:space="preserve"> wyniesie 4,50%.</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 xml:space="preserve">Zgodnie z art. 1 pkt 2 ustawy z dnia 8 listopada 2024 r. o zmianie ustawy o finansach publicznych oraz niektórych innych ustaw, relacja ograniczająca wysokość spłaty zobowiązań jednostki samorządu terytorialnego, o której mowa w art. 243 ust. 1 ustawy o finansach publicznych, może być niezachowana w latach 2022-2029 w przypadku, gdy prognozowana łączna kwota długu jednostki samorządu terytorialnego na koniec danego roku nie przekroczy 100% planowanych dochodów ogółem pomniejszonych o dotacje i środki o podobnym charakterze oraz powiększonych o przychody z tytułów określonych w art. 217 ust. 2 pkt 4-8 ustawy o finansach publicznych. </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9. Przedsięwzięcia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Gmina Gręboszów planuje realizację zadań wieloletnich w latach 2026-2031. W ramach projektu WPF, w stosunku do ostatniej zmiany WPF, wprowadzono niżej opisane modyfikacje.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Dokonano następujących zmian w istniejących przedsięwzięciach: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t>
      </w:r>
      <w:r>
        <w:rPr>
          <w:color w:val="000000"/>
          <w:szCs w:val="20"/>
          <w:u w:color="000000"/>
        </w:rPr>
        <w:t>W zakresie programów, projektów lub zadań związanych z programami realizowanymi z udziałem środków z UE: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w</w:t>
      </w:r>
      <w:r>
        <w:rPr>
          <w:color w:val="000000"/>
          <w:szCs w:val="20"/>
          <w:u w:color="000000"/>
        </w:rPr>
        <w:t xml:space="preserve">drażanie Programu ochrony powietrza w Gminie Gręboszów - </w:t>
      </w:r>
      <w:r>
        <w:rPr>
          <w:color w:val="000000"/>
          <w:szCs w:val="20"/>
          <w:u w:color="000000"/>
        </w:rPr>
        <w:t>p</w:t>
      </w:r>
      <w:r>
        <w:rPr>
          <w:color w:val="000000"/>
          <w:szCs w:val="20"/>
          <w:u w:color="000000"/>
        </w:rPr>
        <w:t>rojekt związany z zatrudnieniem ekodoradcy,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w:t>
      </w:r>
      <w:r>
        <w:rPr>
          <w:color w:val="000000"/>
          <w:szCs w:val="20"/>
          <w:u w:color="000000"/>
        </w:rPr>
        <w:t xml:space="preserve">) </w:t>
      </w:r>
      <w:r>
        <w:rPr>
          <w:color w:val="000000"/>
          <w:szCs w:val="20"/>
          <w:u w:color="000000"/>
        </w:rPr>
        <w:t>zmniejszenie limitu wydatków na realizację zadania w roku budżetowym o kwotę 240 000,00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w:t>
      </w:r>
      <w:r>
        <w:rPr>
          <w:color w:val="000000"/>
          <w:szCs w:val="20"/>
          <w:u w:color="000000"/>
        </w:rPr>
        <w:t xml:space="preserve">) </w:t>
      </w:r>
      <w:r>
        <w:rPr>
          <w:color w:val="000000"/>
          <w:szCs w:val="20"/>
          <w:u w:color="000000"/>
        </w:rPr>
        <w:t>zwiększenie limitu wydatków na realizację zadania w latach 2027-2029 o kwotę 240 000,00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w:t>
      </w:r>
      <w:r>
        <w:rPr>
          <w:color w:val="000000"/>
          <w:szCs w:val="20"/>
          <w:u w:color="000000"/>
        </w:rPr>
        <w:t xml:space="preserve">) </w:t>
      </w:r>
      <w:r>
        <w:rPr>
          <w:color w:val="000000"/>
          <w:szCs w:val="20"/>
          <w:u w:color="000000"/>
        </w:rPr>
        <w:t>wydłużenie horyzontu czasowego przedsięwzięcia do roku 2029</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xml:space="preserve"> </w:t>
      </w:r>
      <w:r>
        <w:rPr>
          <w:color w:val="000000"/>
          <w:szCs w:val="20"/>
          <w:u w:color="000000"/>
        </w:rPr>
        <w:t>W zakresie programów, projektów lub zadań innych (finansowanych ze środków krajowych):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xml:space="preserve"> l</w:t>
      </w:r>
      <w:r>
        <w:rPr>
          <w:color w:val="000000"/>
          <w:szCs w:val="20"/>
          <w:u w:color="000000"/>
        </w:rPr>
        <w:t>icencje i programy komputerowe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a) zwiększenie łącznych nakładów ogółem oraz limitu zobowiązań na realizację zadania o kwotę 140 000,00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zwiększenie limitu wydatków na realizację zadania w roku budżetowym o kwotę 40 000,00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c) zwiększenie limitu wydatków na realizację zadania w latach 2027-2031 o kwotę 200 000,00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xml:space="preserve"> f</w:t>
      </w:r>
      <w:r>
        <w:rPr>
          <w:color w:val="000000"/>
          <w:szCs w:val="20"/>
          <w:u w:color="000000"/>
        </w:rPr>
        <w:t>inansowanie utrzymania mieszkańców gminy w Domach Pomocy Społecznej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a) zmniejszenie łącznych nakładów ogółem oraz limitu zobowiązań na realizację zadania o kwotę 650 000,00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zwiększenie limitu wydatków na realizację zadania w roku budżetowym o kwotę 10 000,00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w:t>
      </w:r>
      <w:r>
        <w:rPr>
          <w:color w:val="000000"/>
          <w:szCs w:val="20"/>
          <w:u w:color="000000"/>
        </w:rPr>
        <w:t xml:space="preserve"> o</w:t>
      </w:r>
      <w:r>
        <w:rPr>
          <w:color w:val="000000"/>
          <w:szCs w:val="20"/>
          <w:u w:color="000000"/>
        </w:rPr>
        <w:t>bsługa bankowa budżetu Gminy Gręboszów na podstawie art. 264 uofp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a) zmniejszenie łącznych nakładów ogółem oraz limitu zobowiązań na realizację zadania o kwotę 16 000,00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zwiększenie limitu wydatków na realizację zadania w roku budżetowym o kwotę 1 000,00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c) zwiększenie limitu wydatków na realizację zadania w latach 2027-2031 o kwotę 1 000,00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4)</w:t>
      </w:r>
      <w:r>
        <w:rPr>
          <w:color w:val="000000"/>
          <w:szCs w:val="20"/>
          <w:u w:color="000000"/>
        </w:rPr>
        <w:t xml:space="preserve"> o</w:t>
      </w:r>
      <w:r>
        <w:rPr>
          <w:color w:val="000000"/>
          <w:szCs w:val="20"/>
          <w:u w:color="000000"/>
        </w:rPr>
        <w:t xml:space="preserve">świetlenie placów ulic i dróg: dostawa energii do budynków i budowli stanowiących mienie gminne - </w:t>
      </w:r>
      <w:r>
        <w:rPr>
          <w:color w:val="000000"/>
          <w:szCs w:val="20"/>
          <w:u w:color="000000"/>
        </w:rPr>
        <w:t>r</w:t>
      </w:r>
      <w:r>
        <w:rPr>
          <w:color w:val="000000"/>
          <w:szCs w:val="20"/>
          <w:u w:color="000000"/>
        </w:rPr>
        <w:t>ealizacja zadań własnych jst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a) zmniejszenie łącznych nakładów ogółem oraz limitu zobowiązań na realizację zadania o kwotę 910 000,00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zmniejszenie limitu wydatków na realizację zadania w roku budżetowym o kwotę 150 000,00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c) zmniejszenie limitu wydatków na realizację zadania w latach 2027-2031 o kwotę 460 000,00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5)</w:t>
      </w:r>
      <w:r>
        <w:rPr>
          <w:color w:val="000000"/>
          <w:szCs w:val="20"/>
          <w:u w:color="000000"/>
        </w:rPr>
        <w:t xml:space="preserve"> w</w:t>
      </w:r>
      <w:r>
        <w:rPr>
          <w:color w:val="000000"/>
          <w:szCs w:val="20"/>
          <w:u w:color="000000"/>
        </w:rPr>
        <w:t>ywóz odpadów komunalnych z terenu Gminy Gręboszów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a) zwiększenie łącznych nakładów ogółem oraz limitu zobowiązań na realizację zadania o kwotę 250 000,00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zwiększenie limitu wydatków na realizację zadania w roku budżetowym o kwotę 70 000,00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c) zwiększenie limitu wydatków na realizację zadania w latach 2027-2031 o kwotę 880 000,00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6)</w:t>
      </w:r>
      <w:r>
        <w:rPr>
          <w:color w:val="000000"/>
          <w:szCs w:val="20"/>
          <w:u w:color="000000"/>
        </w:rPr>
        <w:t xml:space="preserve"> z</w:t>
      </w:r>
      <w:r>
        <w:rPr>
          <w:color w:val="000000"/>
          <w:szCs w:val="20"/>
          <w:u w:color="000000"/>
        </w:rPr>
        <w:t>imowe utrzymanie dróg publicznych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a) zmniejszenie łącznych nakładów ogółem oraz limitu zobowiązań na realizację zadania o kwotę 920 000,00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zmniejszenie limitu wydatków na realizację zadania w roku budżetowym o kwotę 160 000,00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c) zmniejszenie limitu wydatków na realizację zadania w latach 2027-2031 o kwotę 360 000,00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7)</w:t>
      </w:r>
      <w:r>
        <w:rPr>
          <w:color w:val="000000"/>
          <w:szCs w:val="20"/>
          <w:u w:color="000000"/>
        </w:rPr>
        <w:t xml:space="preserve"> p</w:t>
      </w:r>
      <w:r>
        <w:rPr>
          <w:color w:val="000000"/>
          <w:szCs w:val="20"/>
          <w:u w:color="000000"/>
        </w:rPr>
        <w:t>rzebudowa kanału Hubenickiego na terenie Gminy Gręboszów – zmiana w przedsięwzięciu obejmuje</w:t>
      </w:r>
      <w:r>
        <w:rPr>
          <w:color w:val="000000"/>
          <w:szCs w:val="20"/>
          <w:u w:color="000000"/>
        </w:rPr>
        <w:t>,</w:t>
      </w:r>
      <w:r>
        <w:rPr>
          <w:color w:val="000000"/>
          <w:szCs w:val="20"/>
          <w:u w:color="000000"/>
        </w:rPr>
        <w:t xml:space="preserve"> m.in.:</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a) zmniejszenie limitu wydatków na realizację zadania w roku budżetowym o kwotę 320 000,00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b) zwiększenie limitu wydatków na realizację zadania w latach 2027-2030 o kwotę 1 520 000,00 zł;</w:t>
      </w:r>
    </w:p>
    <w:p>
      <w:pPr>
        <w:keepNext w:val="0"/>
        <w:keepLines w:val="0"/>
        <w:widowControl/>
        <w:suppressLineNumbers w:val="0"/>
        <w:shd w:val="clear" w:color="auto" w:fill="auto"/>
        <w:suppressAutoHyphens w:val="0"/>
        <w:spacing w:before="120" w:beforeAutospacing="0" w:after="120" w:afterAutospacing="0" w:line="240" w:lineRule="auto"/>
        <w:ind w:left="227" w:right="0" w:hanging="227"/>
        <w:contextualSpacing w:val="0"/>
        <w:rPr>
          <w:color w:val="000000"/>
          <w:szCs w:val="20"/>
          <w:u w:color="000000"/>
        </w:rPr>
      </w:pPr>
      <w:r>
        <w:rPr>
          <w:color w:val="000000"/>
          <w:szCs w:val="20"/>
          <w:u w:color="000000"/>
        </w:rPr>
        <w:t>c) wydłużenie horyzontu czasowego przedsięwzięcia do roku 2030.</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 załącznika przedsięwzięć usunięto następujące zadania: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w:t>
      </w:r>
      <w:r>
        <w:rPr>
          <w:color w:val="000000"/>
          <w:szCs w:val="20"/>
          <w:u w:color="000000"/>
        </w:rPr>
        <w:t>) r</w:t>
      </w:r>
      <w:r>
        <w:rPr>
          <w:color w:val="000000"/>
          <w:szCs w:val="20"/>
          <w:u w:color="000000"/>
        </w:rPr>
        <w:t>ealizacja zadania „Cyberbezpieczny samorząd</w:t>
      </w:r>
      <w:r>
        <w:rPr>
          <w:color w:val="000000"/>
          <w:szCs w:val="20"/>
          <w:u w:color="000000"/>
        </w:rPr>
        <w:t>”</w:t>
      </w:r>
      <w:r>
        <w:rPr>
          <w:color w:val="000000"/>
          <w:szCs w:val="20"/>
          <w:u w:color="000000"/>
        </w:rPr>
        <w:t>;</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w:t>
      </w:r>
      <w:r>
        <w:rPr>
          <w:color w:val="000000"/>
          <w:szCs w:val="20"/>
          <w:u w:color="000000"/>
        </w:rPr>
        <w:t>) r</w:t>
      </w:r>
      <w:r>
        <w:rPr>
          <w:color w:val="000000"/>
          <w:szCs w:val="20"/>
          <w:u w:color="000000"/>
        </w:rPr>
        <w:t>ozbudowa, przebudowa i doposażenie Punktu Selektywnej Zbiórki Odpadów Komunalnych w Gręboszowie;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w:t>
      </w:r>
      <w:r>
        <w:rPr>
          <w:color w:val="000000"/>
          <w:szCs w:val="20"/>
          <w:u w:color="000000"/>
        </w:rPr>
        <w:t>) z</w:t>
      </w:r>
      <w:r>
        <w:rPr>
          <w:color w:val="000000"/>
          <w:szCs w:val="20"/>
          <w:u w:color="000000"/>
        </w:rPr>
        <w:t>agospodarowanie centrum miejscowości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4</w:t>
      </w:r>
      <w:r>
        <w:rPr>
          <w:color w:val="000000"/>
          <w:szCs w:val="20"/>
          <w:u w:color="000000"/>
        </w:rPr>
        <w:t>) d</w:t>
      </w:r>
      <w:r>
        <w:rPr>
          <w:color w:val="000000"/>
          <w:szCs w:val="20"/>
          <w:u w:color="000000"/>
        </w:rPr>
        <w:t>ziałania inwestycyjne w zakresie budowy infrastruktury Klastra Energii Energetyczne Powiśle - Odnawialne Źródła Energii ;</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5</w:t>
      </w:r>
      <w:r>
        <w:rPr>
          <w:color w:val="000000"/>
          <w:szCs w:val="20"/>
          <w:u w:color="000000"/>
        </w:rPr>
        <w:t>) b</w:t>
      </w:r>
      <w:r>
        <w:rPr>
          <w:color w:val="000000"/>
          <w:szCs w:val="20"/>
          <w:u w:color="000000"/>
        </w:rPr>
        <w:t>udowa budynku szatni sportowej z zapleczem sanitarnym przy boisku w miejscowości Ujście Jezuickie;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6</w:t>
      </w:r>
      <w:r>
        <w:rPr>
          <w:color w:val="000000"/>
          <w:szCs w:val="20"/>
          <w:u w:color="000000"/>
        </w:rPr>
        <w:t>) b</w:t>
      </w:r>
      <w:r>
        <w:rPr>
          <w:color w:val="000000"/>
          <w:szCs w:val="20"/>
          <w:u w:color="000000"/>
        </w:rPr>
        <w:t>udowa publicznego przedszkola ze żłobkiem wraz z instalacjami infrastruktury technicznej w miejscowości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7</w:t>
      </w:r>
      <w:r>
        <w:rPr>
          <w:color w:val="000000"/>
          <w:szCs w:val="20"/>
          <w:u w:color="000000"/>
        </w:rPr>
        <w:t>) z</w:t>
      </w:r>
      <w:r>
        <w:rPr>
          <w:color w:val="000000"/>
          <w:szCs w:val="20"/>
          <w:u w:color="000000"/>
        </w:rPr>
        <w:t>agospodarowanie terenu przy publicznym przedszkolu ze żłobkiem w miejscowości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8</w:t>
      </w:r>
      <w:r>
        <w:rPr>
          <w:color w:val="000000"/>
          <w:szCs w:val="20"/>
          <w:u w:color="000000"/>
        </w:rPr>
        <w:t>) z</w:t>
      </w:r>
      <w:r>
        <w:rPr>
          <w:color w:val="000000"/>
          <w:szCs w:val="20"/>
          <w:u w:color="000000"/>
        </w:rPr>
        <w:t>akup średniego samochodu ratowniczo-gaśniczego w ramach projektu "Bezpieczna Małopolska - Bon na ratowanie - Straż pożarna";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9</w:t>
      </w:r>
      <w:r>
        <w:rPr>
          <w:color w:val="000000"/>
          <w:szCs w:val="20"/>
          <w:u w:color="000000"/>
        </w:rPr>
        <w:t>) r</w:t>
      </w:r>
      <w:r>
        <w:rPr>
          <w:color w:val="000000"/>
          <w:szCs w:val="20"/>
          <w:u w:color="000000"/>
        </w:rPr>
        <w:t>ozbudowa DW 973 na terenie gminy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Informacje dodatkowe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Wartości wykazane w pozostałych pozycjach WPF, w tym informacje uzupełniające o wybranych kategoriach finansowych (kolumna od 10.1 do 10.11) stanowią informacje uzupełniające względem pozycji opisanych powyżej. Zostały przedstawione w WPF zgodnie z obowiązującym stanem faktycznym, na podstawie zawartych umów i porozumień.</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tbl>
      <w:tblPr>
        <w:tblStyle w:val="TableSimple1"/>
        <w:tblW w:w="5000" w:type="pct"/>
        <w:tblInd w:w="283" w:type="dxa"/>
        <w:tblBorders>
          <w:top w:val="nil"/>
          <w:left w:val="nil"/>
          <w:bottom w:val="nil"/>
          <w:right w:val="nil"/>
        </w:tblBorders>
        <w:tblLook w:val="04A0"/>
      </w:tblPr>
      <w:tblGrid>
        <w:gridCol w:w="4792"/>
        <w:gridCol w:w="4792"/>
      </w:tblGrid>
      <w:tr>
        <w:tblPrEx>
          <w:tblW w:w="5000" w:type="pct"/>
          <w:tblInd w:w="283" w:type="dxa"/>
          <w:tblLook w:val="04A0"/>
        </w:tblPrEx>
        <w:tc>
          <w:tcPr>
            <w:tcW w:w="2500" w:type="pct"/>
            <w:tcBorders>
              <w:right w:val="nil"/>
            </w:tcBorders>
            <w:vAlign w:val="top"/>
          </w:tcPr>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rPr>
                <w:color w:val="000000"/>
                <w:szCs w:val="20"/>
                <w:u w:color="000000"/>
              </w:rPr>
            </w:pPr>
          </w:p>
        </w:tc>
        <w:tc>
          <w:tcPr>
            <w:tcW w:w="2500" w:type="pct"/>
            <w:tcBorders>
              <w:left w:val="nil"/>
            </w:tcBorders>
            <w:vAlign w:val="top"/>
          </w:tcPr>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fldChar w:fldCharType="begin"/>
            </w:r>
            <w:r>
              <w:rPr>
                <w:color w:val="000000"/>
                <w:szCs w:val="20"/>
                <w:u w:color="000000"/>
              </w:rPr>
              <w:instrText>SIGNATURE_0_1_FUNCTION</w:instrText>
            </w:r>
            <w:r>
              <w:rPr>
                <w:color w:val="000000"/>
                <w:szCs w:val="20"/>
                <w:u w:color="000000"/>
              </w:rPr>
              <w:fldChar w:fldCharType="separate"/>
            </w:r>
            <w:r>
              <w:rPr>
                <w:color w:val="000000"/>
                <w:szCs w:val="20"/>
                <w:u w:color="000000"/>
              </w:rPr>
              <w:t>Przewodniczący Rady Gminy Gręboszów</w:t>
            </w:r>
            <w:r>
              <w:rPr>
                <w:color w:val="000000"/>
                <w:szCs w:val="20"/>
                <w:u w:color="000000"/>
              </w:rPr>
              <w:fldChar w:fldCharType="end"/>
            </w:r>
          </w:p>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t xml:space="preserve"> </w:t>
            </w:r>
          </w:p>
          <w:p>
            <w:pPr>
              <w:keepNext w:val="0"/>
              <w:keepLines w:val="0"/>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fldChar w:fldCharType="begin"/>
            </w:r>
            <w:r>
              <w:rPr>
                <w:color w:val="000000"/>
                <w:szCs w:val="20"/>
                <w:u w:color="000000"/>
              </w:rPr>
              <w:instrText>SIGNATURE_0_1_FIRSTNAME</w:instrText>
            </w:r>
            <w:r>
              <w:rPr>
                <w:color w:val="000000"/>
                <w:szCs w:val="20"/>
                <w:u w:color="000000"/>
              </w:rPr>
              <w:fldChar w:fldCharType="separate"/>
            </w:r>
            <w:r>
              <w:rPr>
                <w:b/>
                <w:color w:val="000000"/>
                <w:szCs w:val="20"/>
                <w:u w:color="000000"/>
              </w:rPr>
              <w:t xml:space="preserve">Wiesław </w:t>
            </w:r>
            <w:r>
              <w:rPr>
                <w:color w:val="000000"/>
                <w:szCs w:val="20"/>
                <w:u w:color="000000"/>
              </w:rPr>
              <w:fldChar w:fldCharType="end"/>
            </w:r>
            <w:r>
              <w:rPr>
                <w:color w:val="000000"/>
                <w:szCs w:val="20"/>
                <w:u w:color="000000"/>
              </w:rPr>
              <w:fldChar w:fldCharType="begin"/>
            </w:r>
            <w:r>
              <w:rPr>
                <w:color w:val="000000"/>
                <w:szCs w:val="20"/>
                <w:u w:color="000000"/>
              </w:rPr>
              <w:instrText>SIGNATURE_0_1_LASTNAME</w:instrText>
            </w:r>
            <w:r>
              <w:rPr>
                <w:color w:val="000000"/>
                <w:szCs w:val="20"/>
                <w:u w:color="000000"/>
              </w:rPr>
              <w:fldChar w:fldCharType="separate"/>
            </w:r>
            <w:r>
              <w:rPr>
                <w:b/>
                <w:color w:val="000000"/>
                <w:szCs w:val="20"/>
                <w:u w:color="000000"/>
              </w:rPr>
              <w:t>Wytrwał</w:t>
            </w:r>
            <w:r>
              <w:rPr>
                <w:color w:val="000000"/>
                <w:szCs w:val="20"/>
                <w:u w:color="000000"/>
              </w:rPr>
              <w:fldChar w:fldCharType="end"/>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sectPr>
      <w:footerReference w:type="default" r:id="rId15"/>
      <w:endnotePr>
        <w:numFmt w:val="decimal"/>
      </w:endnotePr>
      <w:type w:val="nextPage"/>
      <w:pgSz w:w="11906" w:h="16838" w:code="0"/>
      <w:pgMar w:top="992"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3C492C33-9169-44DD-A78D-B63DA2E435A7.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514"/>
      <w:gridCol w:w="7257"/>
    </w:tblGrid>
    <w:tr>
      <w:tblPrEx>
        <w:tblW w:w="5000" w:type="pct"/>
      </w:tblPrEx>
      <w:tc>
        <w:tcPr>
          <w:tcW w:w="14514"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3C492C33-9169-44DD-A78D-B63DA2E435A7. Projekt</w:t>
          </w:r>
        </w:p>
      </w:tc>
      <w:tc>
        <w:tcPr>
          <w:tcW w:w="7257"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514"/>
      <w:gridCol w:w="7257"/>
    </w:tblGrid>
    <w:tr>
      <w:tblPrEx>
        <w:tblW w:w="5000" w:type="pct"/>
      </w:tblPrEx>
      <w:tc>
        <w:tcPr>
          <w:tcW w:w="14514"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3C492C33-9169-44DD-A78D-B63DA2E435A7. Projekt</w:t>
          </w:r>
        </w:p>
      </w:tc>
      <w:tc>
        <w:tcPr>
          <w:tcW w:w="7257"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3C492C33-9169-44DD-A78D-B63DA2E435A7.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1) </w:t>
      </w:r>
      <w:r>
        <w:rPr>
          <w:rFonts w:ascii="Times New Roman" w:eastAsia="Times New Roman" w:hAnsi="Times New Roman" w:cs="Times New Roman"/>
          <w:b w:val="0"/>
          <w:caps w:val="0"/>
          <w:sz w:val="20"/>
        </w:rPr>
        <w:t>Wzór może być stosowany także w układzie pionowym, w którym poszczególne pozycje są przedstawione w kolumnach, a lata w wierszach.</w:t>
      </w:r>
    </w:p>
  </w:footnote>
  <w:footnote w:id="3">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2) </w:t>
      </w:r>
      <w:r>
        <w:rPr>
          <w:rFonts w:ascii="Times New Roman" w:eastAsia="Times New Roman" w:hAnsi="Times New Roman" w:cs="Times New Roman"/>
          <w:b w:val="0"/>
          <w:caps w:val="0"/>
          <w:sz w:val="20"/>
        </w:rPr>
        <w:t>W pozycji wykazuje się dochody o charakterze celowym, które jednostka otrzymuje od podmiotów zewnętrznych. W szczególności pozycja obejmuje dotacje celowe z budżetu państwa na zadania bieżące oraz dotacje i środki na finansowanie wydatków bieżących na realizację zadań finansowanych z udziałem środków, o których mowa w art. 5 ust. 1 pkt 2 i 3 ustawy. W pozycji nie wykazuje się natomiast dochodów związanych ze szczególnymi zasadami wykonywania budżetu jednostki wynikającymi z odrębnych ustaw, o których mowa w art. 237 ust. 1 ustawy.</w:t>
      </w:r>
    </w:p>
  </w:footnote>
  <w:footnote w:id="4">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3) </w:t>
      </w:r>
      <w:r>
        <w:rPr>
          <w:rFonts w:ascii="Times New Roman" w:eastAsia="Times New Roman" w:hAnsi="Times New Roman" w:cs="Times New Roman"/>
          <w:b w:val="0"/>
          <w:caps w:val="0"/>
          <w:sz w:val="20"/>
        </w:rPr>
        <w:t>W pozycji wykazuje się pozostałe dochody bieżące w szczególności kwoty podatków i opłat lokalnych.</w:t>
      </w:r>
    </w:p>
  </w:footnote>
  <w:footnote w:id="5">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4) </w:t>
      </w:r>
      <w:r>
        <w:rPr>
          <w:rFonts w:ascii="Times New Roman" w:eastAsia="Times New Roman" w:hAnsi="Times New Roman" w:cs="Times New Roman"/>
          <w:b w:val="0"/>
          <w:caps w:val="0"/>
          <w:sz w:val="20"/>
        </w:rPr>
        <w:t>Inne przeznaczenie nadwyżki budżetowej wymaga określenia w objaśnieniach do wieloletniej prognozy finansowej.</w:t>
      </w:r>
    </w:p>
  </w:footnote>
  <w:footnote w:id="6">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5) </w:t>
      </w:r>
      <w:r>
        <w:rPr>
          <w:rFonts w:ascii="Times New Roman" w:eastAsia="Times New Roman" w:hAnsi="Times New Roman" w:cs="Times New Roman"/>
          <w:b w:val="0"/>
          <w:caps w:val="0"/>
          <w:sz w:val="20"/>
        </w:rPr>
        <w:t>W pozycji należy ująć środki pieniężne znajdujące się na rachunku budżetu pochodzące z nadwyżek poprzednich budżetów, łącznie z niewykorzystanymi środkami, o których mowa w art. 217 ust. 2 pkt 8 ustawy.</w:t>
      </w:r>
    </w:p>
  </w:footnote>
  <w:footnote w:id="7">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6) </w:t>
      </w:r>
      <w:r>
        <w:rPr>
          <w:rFonts w:ascii="Times New Roman" w:eastAsia="Times New Roman" w:hAnsi="Times New Roman" w:cs="Times New Roman"/>
          <w:b w:val="0"/>
          <w:caps w:val="0"/>
          <w:sz w:val="20"/>
        </w:rPr>
        <w:t>W pozycji należy ująć w szczególności przychody pochodzące z prywatyzacji majątku jednostki samorządu terytorialnego.</w:t>
      </w:r>
    </w:p>
  </w:footnote>
  <w:footnote w:id="8">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7) </w:t>
      </w:r>
      <w:r>
        <w:rPr>
          <w:rFonts w:ascii="Times New Roman" w:eastAsia="Times New Roman" w:hAnsi="Times New Roman" w:cs="Times New Roman"/>
          <w:b w:val="0"/>
          <w:caps w:val="0"/>
          <w:sz w:val="20"/>
        </w:rPr>
        <w:t>Skorygowanie o środki dotyczy określonego w art. 242 ustawy powiększenia o odpowiednie dla roku prognozy przychody wskazane w art. 217 ust. 2 ustawy. Skutki finansowe wyłączeń ograniczenia, o którym mowa w art. 242 ustawy, zawarte w innych ustawach należy ująć w objaśnieniach dołączanych do wieloletniej prognozy finansowej zgodnie z art. 226 ust. 2a ustawy.</w:t>
      </w:r>
    </w:p>
  </w:footnote>
  <w:footnote w:id="9">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8) </w:t>
      </w:r>
      <w:r>
        <w:rPr>
          <w:rFonts w:ascii="Times New Roman" w:eastAsia="Times New Roman" w:hAnsi="Times New Roman" w:cs="Times New Roman"/>
          <w:b w:val="0"/>
          <w:caps w:val="0"/>
          <w:sz w:val="20"/>
        </w:rPr>
        <w:t>W pozycji należy ująć kwoty wydatków bieżących, o które zostają pomniejszone wydatki bieżące budżetu przy wyliczaniu limitu spłaty zobowiązań określonego po prawej stronie nierówności we wzorze, o którym mowa w art. 243 ustawy, na podstawie odrębnych ustaw, bez wydatków bieżących na obsługę długu.W szczególności należy ująć wydatki poniesione w celu realizacji zadań związanych z przeciwdziałaniem COVID-19.</w:t>
      </w:r>
    </w:p>
  </w:footnote>
  <w:footnote w:id="1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9) </w:t>
      </w:r>
      <w:r>
        <w:rPr>
          <w:rFonts w:ascii="Times New Roman" w:eastAsia="Times New Roman" w:hAnsi="Times New Roman" w:cs="Times New Roman"/>
          <w:b w:val="0"/>
          <w:caps w:val="0"/>
          <w:sz w:val="20"/>
        </w:rPr>
        <w:t>Zgodnie z art. 227 ustawy z dnia 27 sierpnia 2009 r. o finansach publicznych (Dz. U. z 2019 r. poz. 869, z późn. zm.), zwanej dalej „ustawą”, wieloletnia prognoza finansowa obejmuje okres roku budżetowego oraz co najmniej trzech kolejnych lat. W sytuacji dłuższego okresu prognozowania finansowego wzór stosuje się dla lat wykraczających poza minimalny (4-letni) okres prognozy wynikający z art. 227 ustawy.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Gręboszów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XX/145/2025 z dnia 30 grudnia 2025 r.</dc:title>
  <dc:subject>w sprawie Wieloletniej Prognozy Finansowej Gminy Gręboszów na lata 2026-2031</dc:subject>
  <dc:creator>marcin.janowiec</dc:creator>
  <cp:lastModifiedBy>marcin.janowiec</cp:lastModifiedBy>
  <cp:revision>1</cp:revision>
  <dcterms:created xsi:type="dcterms:W3CDTF">2025-12-22T08:34:11Z</dcterms:created>
  <dcterms:modified xsi:type="dcterms:W3CDTF">2025-12-22T08:34:11Z</dcterms:modified>
  <cp:category>Akt prawny</cp:category>
</cp:coreProperties>
</file>