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4.0 -->
  <w:body>
    <w:p w:rsidR="00A77B3E">
      <w:pPr>
        <w:spacing w:before="0" w:after="0"/>
        <w:ind w:left="5669" w:right="0"/>
        <w:jc w:val="left"/>
        <w:rPr>
          <w:rFonts w:ascii="Times New Roman" w:eastAsia="Times New Roman" w:hAnsi="Times New Roman" w:cs="Times New Roman"/>
          <w:b/>
          <w:i/>
          <w:sz w:val="20"/>
          <w:u w:val="thick"/>
        </w:rPr>
      </w:pPr>
      <w:r>
        <w:rPr>
          <w:rFonts w:ascii="Times New Roman" w:eastAsia="Times New Roman" w:hAnsi="Times New Roman" w:cs="Times New Roman"/>
          <w:b/>
          <w:i/>
          <w:sz w:val="20"/>
          <w:u w:val="thick"/>
        </w:rPr>
        <w:t>Projekt</w:t>
      </w:r>
    </w:p>
    <w:p w:rsidR="00A77B3E">
      <w:pPr>
        <w:spacing w:before="0" w:after="0"/>
        <w:ind w:left="5669" w:right="0"/>
        <w:jc w:val="left"/>
        <w:rPr>
          <w:rFonts w:ascii="Times New Roman" w:eastAsia="Times New Roman" w:hAnsi="Times New Roman" w:cs="Times New Roman"/>
          <w:b/>
          <w:i/>
          <w:sz w:val="20"/>
          <w:u w:val="thick"/>
        </w:rPr>
      </w:pP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 dnia  30 grudnia 2025 r.</w:t>
      </w:r>
    </w:p>
    <w:p w:rsidR="00A77B3E">
      <w:pPr>
        <w:spacing w:before="0" w:after="0"/>
        <w:ind w:left="5669" w:right="0"/>
        <w:jc w:val="left"/>
        <w:rPr>
          <w:rFonts w:ascii="Times New Roman" w:eastAsia="Times New Roman" w:hAnsi="Times New Roman" w:cs="Times New Roman"/>
          <w:b w:val="0"/>
          <w:i w:val="0"/>
          <w:sz w:val="20"/>
          <w:u w:val="none"/>
        </w:rPr>
      </w:pPr>
      <w:r>
        <w:rPr>
          <w:rFonts w:ascii="Times New Roman" w:eastAsia="Times New Roman" w:hAnsi="Times New Roman" w:cs="Times New Roman"/>
          <w:b w:val="0"/>
          <w:i w:val="0"/>
          <w:sz w:val="20"/>
          <w:u w:val="none"/>
        </w:rPr>
        <w:t>Zatwierdzony przez .........................</w:t>
      </w: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ind w:left="5669" w:right="0"/>
        <w:jc w:val="left"/>
        <w:rPr>
          <w:rFonts w:ascii="Times New Roman" w:eastAsia="Times New Roman" w:hAnsi="Times New Roman" w:cs="Times New Roman"/>
          <w:b w:val="0"/>
          <w:i w:val="0"/>
          <w:sz w:val="20"/>
          <w:u w:val="none"/>
        </w:rPr>
      </w:pPr>
    </w:p>
    <w:p w:rsidR="00A77B3E">
      <w:pPr>
        <w:spacing w:before="0" w:after="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i w:val="0"/>
          <w:caps/>
          <w:sz w:val="22"/>
          <w:u w:val="none"/>
        </w:rPr>
        <w:t>Uchwała</w:t>
      </w:r>
      <w:r>
        <w:rPr>
          <w:rFonts w:ascii="Times New Roman" w:eastAsia="Times New Roman" w:hAnsi="Times New Roman" w:cs="Times New Roman"/>
          <w:b/>
          <w:i w:val="0"/>
          <w:caps/>
          <w:sz w:val="22"/>
          <w:u w:val="none"/>
        </w:rPr>
        <w:t xml:space="preserve"> nr XXI/146/2025</w:t>
      </w:r>
      <w:r>
        <w:rPr>
          <w:rFonts w:ascii="Times New Roman" w:eastAsia="Times New Roman" w:hAnsi="Times New Roman" w:cs="Times New Roman"/>
          <w:b/>
          <w:i w:val="0"/>
          <w:caps/>
          <w:sz w:val="22"/>
          <w:u w:val="none"/>
        </w:rPr>
        <w:br/>
      </w:r>
      <w:r>
        <w:rPr>
          <w:rFonts w:ascii="Times New Roman" w:eastAsia="Times New Roman" w:hAnsi="Times New Roman" w:cs="Times New Roman"/>
          <w:b/>
          <w:i w:val="0"/>
          <w:caps/>
          <w:sz w:val="22"/>
          <w:u w:val="none"/>
        </w:rPr>
        <w:t>Rady Gminy Gręboszów</w:t>
      </w:r>
    </w:p>
    <w:p w:rsidR="00A77B3E">
      <w:pPr>
        <w:spacing w:before="280" w:after="280" w:line="240" w:lineRule="auto"/>
        <w:ind w:left="0" w:right="0"/>
        <w:jc w:val="center"/>
        <w:rPr>
          <w:rFonts w:ascii="Times New Roman" w:eastAsia="Times New Roman" w:hAnsi="Times New Roman" w:cs="Times New Roman"/>
          <w:b/>
          <w:i w:val="0"/>
          <w:caps/>
          <w:sz w:val="22"/>
          <w:u w:val="none"/>
        </w:rPr>
      </w:pPr>
      <w:r>
        <w:rPr>
          <w:rFonts w:ascii="Times New Roman" w:eastAsia="Times New Roman" w:hAnsi="Times New Roman" w:cs="Times New Roman"/>
          <w:b w:val="0"/>
          <w:caps w:val="0"/>
          <w:sz w:val="22"/>
        </w:rPr>
        <w:t>z dnia 30 grudnia 2025 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i w:val="0"/>
          <w:caps w:val="0"/>
          <w:sz w:val="22"/>
          <w:u w:val="none"/>
        </w:rPr>
        <w:t>w sprawie Wieloletniej Prognozy Finansowej Gminy Gręboszów na lata 2026-2035</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val="0"/>
          <w:i w:val="0"/>
          <w:caps w:val="0"/>
          <w:strike w:val="0"/>
          <w:color w:val="auto"/>
          <w:sz w:val="22"/>
          <w:u w:val="none"/>
        </w:rPr>
        <w:t>Na podstawie art.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230</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6</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ustawy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dnia 27</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sierpnia 2009</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o</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finansach publicznych (Dz.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U. 2025</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r. poz.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1483) uchwala się, co następuje: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auto"/>
          <w:sz w:val="22"/>
          <w:u w:val="none"/>
        </w:rPr>
        <w:t>Uchwala się Wieloletnią Prognozę Finansową Gminy Gręboszów na lata 2026-2035, zgodnie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załącznikiem nr 1</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auto"/>
          <w:sz w:val="22"/>
          <w:u w:val="none"/>
        </w:rPr>
        <w:t>Uchwala się wykaz wieloletnich przedsięwzięć Gminy Gręboszów, obejmujący limity wydatków w</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poszczególnych latach oraz limity zobowiązań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nimi związane, zgodnie z</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załącznikiem nr 2</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auto"/>
          <w:sz w:val="22"/>
          <w:u w:val="no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auto"/>
          <w:sz w:val="22"/>
          <w:u w:val="none"/>
        </w:rPr>
        <w:t>Objaśnienia przyjętych wartości do Wieloletniej Prognozy Finansowej Gminy Gręboszów na lata 2026-2035, stanowią załącznik nr 3</w:t>
      </w:r>
      <w:r>
        <w:rPr>
          <w:rFonts w:ascii="Times New Roman" w:eastAsia="Times New Roman" w:hAnsi="Times New Roman" w:cs="Times New Roman"/>
          <w:b w:val="0"/>
          <w:i w:val="0"/>
          <w:caps w:val="0"/>
          <w:strike w:val="0"/>
          <w:color w:val="auto"/>
          <w:sz w:val="22"/>
          <w:u w:val="none"/>
        </w:rPr>
        <w:t> </w:t>
      </w:r>
      <w:r>
        <w:rPr>
          <w:rFonts w:ascii="Times New Roman" w:eastAsia="Times New Roman" w:hAnsi="Times New Roman" w:cs="Times New Roman"/>
          <w:b w:val="0"/>
          <w:i w:val="0"/>
          <w:caps w:val="0"/>
          <w:strike w:val="0"/>
          <w:color w:val="auto"/>
          <w:sz w:val="22"/>
          <w:u w:val="none"/>
        </w:rPr>
        <w:t>do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auto"/>
          <w:sz w:val="22"/>
          <w:u w:val="none"/>
          <w:vertAlign w:val="baseline"/>
        </w:rPr>
        <w:t>Upoważnia się Wójta Gminy Gręboszów, do zaciągania zobowiązań:</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związanych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realizacją wieloletnich przedsięwzięć do wysokości limitów określonych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załączniku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 tytułu umów, których realizacja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budżetowym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latach następnych jest niezbędna dla zapewnienia ciągłości działania Gminy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terminy płatności wykraczają poza rok budżetowy, do kwoty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000,00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zł.</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Upoważnia się Wójta Gminy Gręboszów do przekazania uprawnień do zaciągania zobowiązań,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kierownikom jednostek organizacyjnych Gminy.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Upoważnia się Wójta Gminy Gręboszów do dokonywania zmian limitów zobowiązań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kwot wydatków na realizację przedsięwzięć finansowanych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udziałem środków europejskich albo środków,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sierpnia 2009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finansach publicznych,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związku ze zmianami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realizacji takich przedsięwzięć,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ile zmiany te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pogorszą wyniku budżetu dla każdego roku objętego wieloletnią prognozą finansową. Upoważnienie to obejmuje także upoważnienie do dokonywania zmian środków przeznaczonych na współfinansowanie realizacji przedsięwzięć,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zdaniu pierwszym,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wkładu własnego beneficjenta, oraz wynikających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rozstrzygniętych konkursów,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których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38</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pkt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lipca 2014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zasadach realizacji programów.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Wykonanie uchwały powierza się Wójtowi Gminy Gręboszów.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6. </w:t>
      </w:r>
      <w:r>
        <w:rPr>
          <w:rFonts w:ascii="Times New Roman" w:eastAsia="Times New Roman" w:hAnsi="Times New Roman" w:cs="Times New Roman"/>
          <w:b w:val="0"/>
          <w:i w:val="0"/>
          <w:caps w:val="0"/>
          <w:strike w:val="0"/>
          <w:color w:val="000000"/>
          <w:sz w:val="22"/>
          <w:u w:val="none" w:color="000000"/>
          <w:vertAlign w:val="baseline"/>
        </w:rPr>
        <w:t>Z dniem 31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traci moc uchwała Nr VIII/63/2024 Rady Gminy Gręboszów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2024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Wieloletniej Prognozy Finansowej Gminy Gręboszów na lata 2025-2031,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późniejszymi zmianami.</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7.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2026</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992" w:right="1020" w:bottom="992" w:left="1020" w:header="708" w:footer="708" w:gutter="0"/>
          <w:cols w:space="708"/>
          <w:docGrid w:linePitch="360"/>
        </w:sectPr>
      </w:pPr>
    </w:p>
    <w:p w:rsidR="00A77B3E">
      <w:pPr>
        <w:keepNext/>
        <w:spacing w:before="120" w:after="120" w:line="360" w:lineRule="auto"/>
        <w:ind w:left="17049"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XXI/146/2025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Gminy Gręboszów</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Wieloletnia Prognoza Finansowa</w:t>
      </w:r>
      <w:r>
        <w:rPr>
          <w:rStyle w:val="FootnoteReference"/>
          <w:rFonts w:ascii="Times New Roman" w:eastAsia="Times New Roman" w:hAnsi="Times New Roman" w:cs="Times New Roman"/>
          <w:b/>
          <w:i w:val="0"/>
          <w:caps w:val="0"/>
          <w:strike w:val="0"/>
          <w:color w:val="000000"/>
          <w:sz w:val="20"/>
          <w:u w:val="none" w:color="000000"/>
          <w:vertAlign w:val="superscript"/>
        </w:rPr>
        <w:footnoteReference w:customMarkFollows="1" w:id="2"/>
        <w:t xml:space="preserve">1)</w:t>
      </w:r>
      <w:r>
        <w:rPr>
          <w:rFonts w:ascii="Times New Roman" w:eastAsia="Times New Roman" w:hAnsi="Times New Roman" w:cs="Times New Roman"/>
          <w:b w:val="0"/>
          <w:i w:val="0"/>
          <w:caps w:val="0"/>
          <w:strike w:val="0"/>
          <w:color w:val="000000"/>
          <w:sz w:val="22"/>
          <w:u w:val="none" w:color="000000"/>
          <w:vertAlign w:val="baseli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464"/>
        <w:gridCol w:w="384"/>
        <w:gridCol w:w="360"/>
        <w:gridCol w:w="360"/>
        <w:gridCol w:w="4838"/>
        <w:gridCol w:w="24"/>
        <w:gridCol w:w="1464"/>
        <w:gridCol w:w="1464"/>
        <w:gridCol w:w="1464"/>
        <w:gridCol w:w="1452"/>
        <w:gridCol w:w="1452"/>
        <w:gridCol w:w="1452"/>
        <w:gridCol w:w="1452"/>
        <w:gridCol w:w="1452"/>
        <w:gridCol w:w="1452"/>
        <w:gridCol w:w="1453"/>
      </w:tblGrid>
      <w:tr>
        <w:tblPrEx>
          <w:tblW w:w="5000" w:type="pct"/>
          <w:tblLayout w:type="fixed"/>
        </w:tblPrEx>
        <w:trPr>
          <w:trHeight w:hRule="auto" w:val="0"/>
        </w:trPr>
        <w:tc>
          <w:tcPr>
            <w:tcW w:w="7713" w:type="dxa"/>
            <w:gridSpan w:val="5"/>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Wyszczególnienie</w:t>
            </w:r>
          </w:p>
        </w:tc>
        <w:tc>
          <w:tcPr>
            <w:tcW w:w="155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2019</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2020</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2021</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2022</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2023</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2024</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Plan 3 kw. 2025</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Wykonanie 2025</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2026</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2027</w:t>
            </w:r>
          </w:p>
        </w:tc>
      </w:tr>
      <w:tr>
        <w:tblPrEx>
          <w:tblW w:w="5000" w:type="pct"/>
          <w:tblLayout w:type="fixed"/>
        </w:tblPrEx>
        <w:trPr>
          <w:trHeight w:hRule="auto" w:val="0"/>
        </w:trPr>
        <w:tc>
          <w:tcPr>
            <w:tcW w:w="7713" w:type="dxa"/>
            <w:gridSpan w:val="5"/>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1. Dochody ogółem</w:t>
            </w:r>
            <w:r>
              <w:rPr>
                <w:b/>
                <w:sz w:val="14"/>
                <w:vertAlign w:val="superscript"/>
              </w:rPr>
              <w:t>X</w:t>
            </w:r>
          </w:p>
        </w:tc>
        <w:tc>
          <w:tcPr>
            <w:tcW w:w="155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11 980 391,31</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18 358 285,17</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17 589 024,02</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19 318 398,47</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20 737 979,48</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29 518 559,98</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37 765 092,76</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34 968 016,65</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28 000 000,00</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24 871 055,00</w:t>
            </w:r>
          </w:p>
        </w:tc>
      </w:tr>
      <w:tr>
        <w:tblPrEx>
          <w:tblW w:w="5000" w:type="pct"/>
          <w:tblLayout w:type="fixed"/>
        </w:tblPrEx>
        <w:trPr>
          <w:trHeight w:hRule="auto" w:val="0"/>
        </w:trPr>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w:t>
            </w:r>
          </w:p>
        </w:tc>
        <w:tc>
          <w:tcPr>
            <w:tcW w:w="6188" w:type="dxa"/>
            <w:gridSpan w:val="4"/>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w:t>
            </w:r>
            <w:r>
              <w:rPr>
                <w:sz w:val="14"/>
                <w:vertAlign w:val="superscript"/>
              </w:rPr>
              <w:t>X</w:t>
            </w:r>
            <w:r>
              <w:rPr>
                <w:sz w:val="14"/>
              </w:rPr>
              <w:t>, z tego:</w:t>
            </w:r>
          </w:p>
        </w:tc>
        <w:tc>
          <w:tcPr>
            <w:tcW w:w="1550" w:type="dxa"/>
            <w:gridSpan w:val="2"/>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11 624 804,72</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12 492 111,37</w:t>
            </w:r>
          </w:p>
        </w:tc>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13 789 278,34</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18 639 744,01</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16 711 393,66</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16 565 609,73</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21 608 400,34</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20 922 487,97</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20 050 000,00</w:t>
            </w:r>
          </w:p>
        </w:tc>
        <w:tc>
          <w:tcPr>
            <w:tcW w:w="1512"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22 871 055,00</w:t>
            </w:r>
          </w:p>
        </w:tc>
      </w:tr>
      <w:tr>
        <w:tblPrEx>
          <w:tblW w:w="5000" w:type="pct"/>
          <w:tblLayout w:type="fixed"/>
        </w:tblPrEx>
        <w:trPr>
          <w:trHeight w:hRule="auto" w:val="0"/>
        </w:trPr>
        <w:tc>
          <w:tcPr>
            <w:tcW w:w="152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fizycznych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1 604 458,00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1 375 838,00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1 464 045,00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4 357 548,57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1 474 872,00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1 972 624,00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5 329 543,08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5 329 543,08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5 733 710,00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6 302 489,00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prawnych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14 863,07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13 951,76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14 895,66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19 234,07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25 283,00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27 699,00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48 840,46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48 840,46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109 909,00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57 757,00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z subwencji ogólnej</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4 433 247,00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4 754 141,00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5 301 378,00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4 915 370,00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7 348 295,95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7 358 208,00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4 681 403,45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4 705 006,45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4 888 257,00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4"/>
              </w:rPr>
              <w:t>5 491 317,00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4"/>
              </w:rPr>
              <w:t>1.1.4</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z tytułu dotacji i</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środków przeznaczonych na cele bieżące</w:t>
            </w:r>
            <w:r>
              <w:rPr>
                <w:rFonts w:ascii="Times New Roman" w:eastAsia="Times New Roman" w:hAnsi="Times New Roman" w:cs="Times New Roman"/>
                <w:b w:val="0"/>
                <w:i w:val="0"/>
                <w:caps w:val="0"/>
                <w:strike w:val="0"/>
                <w:color w:val="000000"/>
                <w:sz w:val="14"/>
                <w:u w:val="none" w:color="000000"/>
                <w:vertAlign w:val="superscript"/>
              </w:rPr>
              <w:t>X</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3"/>
              <w:t xml:space="preserve">2)</w:t>
            </w:r>
            <w:r>
              <w:rPr>
                <w:rFonts w:ascii="Times New Roman" w:eastAsia="Times New Roman" w:hAnsi="Times New Roman" w:cs="Times New Roman"/>
                <w:b w:val="0"/>
                <w:i w:val="0"/>
                <w:caps w:val="0"/>
                <w:strike w:val="0"/>
                <w:color w:val="000000"/>
                <w:sz w:val="22"/>
                <w:u w:val="none" w:color="000000"/>
                <w:vertAlign w:val="baseline"/>
              </w:rPr>
              <w:t> </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4 062 464,11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4 215 508,49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4 576 742,04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5 499 858,30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3 140 141,66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3 140 205,01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2 533 874,27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2 970 038,44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1 524 197,00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1 767 850,00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pozostałe dochody bieżące</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4"/>
              <w:t xml:space="preserve">3)</w:t>
            </w:r>
            <w:r>
              <w:rPr>
                <w:rFonts w:ascii="Times New Roman" w:eastAsia="Times New Roman" w:hAnsi="Times New Roman" w:cs="Times New Roman"/>
                <w:b w:val="0"/>
                <w:i w:val="0"/>
                <w:caps w:val="0"/>
                <w:strike w:val="0"/>
                <w:color w:val="000000"/>
                <w:sz w:val="14"/>
                <w:u w:val="none" w:color="000000"/>
                <w:vertAlign w:val="baseline"/>
              </w:rPr>
              <w:t>, w</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1 509 772,54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2 132 672,12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2 432 217,64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3 847 733,07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4 722 801,05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4 066 873,72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9 014 739,08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7 869 059,54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7 793 927,00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9 251 642,00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podatku od nieruchomości</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377 872,70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519 238,18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597 663,76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1 538 415,83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1 578 418,45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1 596 807,87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2 960 000,00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2 430 000,00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2 750 000,00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3 198 299,00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5 866 173,80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3 799 745,68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678 654,46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4 026 585,82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12 952 950,25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16 156 692,42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14 045 528,68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7 950 000,00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ze sprzedaży majątku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10 462,96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94 975,93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66 624,46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15 753,82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74 300,00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1 067 260,00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29 030,00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341 594,39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dotacji oraz środków przeznaczonych na inwestycje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5 855 710,84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3 704 769,75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612 030,00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4 010 832,00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12 878 650,25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15 089 432,42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14 016 498,68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7 608 405,61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 Wydatki ogółem</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11 615 565,13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15 690 075,78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15 759 738,52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18 682 096,94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26 870 299,99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34 000 140,74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37 685 511,79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38 204 790,72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27 500 000,00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24 271 055,00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11 228 642,71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11 845 185,33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13 324 492,44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17 144 187,75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16 187 562,07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17 797 237,95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20 301 260,24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21 663 584,01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19 012 706,94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19 428 425,00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wynagrodzenia i składki od nich naliczane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4 518 204,35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4 666 945,13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5 214 421,61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5 911 192,69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6 858 904,84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8 306 351,65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9 861 854,82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9 989 220,65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10 947 236,00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11 187 236,00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poręczeń i gwarancji</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gwarancje i poręczenia podlegające wyłączeniu z limitu spłaty zobowiązań, o którym mowa w art. 243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obsługę długu</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28 527,47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26 851,36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39 867,67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72 890,87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32 167,10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432 036,19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472 100,00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544 000,00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340 000,00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330 000,00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w terminie nie dłuższym niż 90 dni po zakończeniu programu, projektu lub zadania i otrzymaniu refundacji z tych środków (bez odsetek i dyskonta od zobowiązań na wkład krajowy)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z tytułu zobowiązań zaciągniętych na wkład krajowy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pozostałe odsetki i dyskonto podlegające wyłączeniu z limitu spłaty zobowiązań, o którym mowa w art. 243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386 922,42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3 844 890,45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2 435 246,08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1 537 909,19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10 682 737,92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16 202 902,79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17 384 251,55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16 541 206,71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8 487 293,06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4 842 630,00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Inwestycje i zakupy inwestycyjne, o których mowa w art. 236 ust. 4 pkt 1 ustawy,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386 922,42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3 844 890,45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2 435 246,08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1 537 909,19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7 682 737,92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16 202 902,79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17 384 251,55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16 541 206,71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8 487 293,06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4 842 630,00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 charakterze dotacyjnym na inwestycje i zakupy inwestycyjne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40 802,79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185 425,62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524 016,36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4 546,60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102 006,30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1 017 882,35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1 841 600,00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1 036 666,26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231 756,25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3. Wynik budżetu</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364 826,18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2 668 209,39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1 829 285,50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636 301,53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-6 132 320,51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-4 481 580,76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79 580,97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-3 236 774,07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3.1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Kwota prognozowanej nadwyżki budżetu przeznaczana na spłatę kredytów, pożyczek i</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wykup papierów wartościowych</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5"/>
              <w:t xml:space="preserve">4)</w:t>
            </w:r>
            <w:r>
              <w:rPr>
                <w:rFonts w:ascii="Times New Roman" w:eastAsia="Times New Roman" w:hAnsi="Times New Roman" w:cs="Times New Roman"/>
                <w:b w:val="0"/>
                <w:i w:val="0"/>
                <w:caps w:val="0"/>
                <w:strike w:val="0"/>
                <w:color w:val="000000"/>
                <w:sz w:val="22"/>
                <w:u w:val="none" w:color="000000"/>
                <w:vertAlign w:val="baseline"/>
              </w:rPr>
              <w:t> </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364 826,18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182 200,00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636 301,53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4. Przychody budżetu</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378 458,71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932 424,89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3 550 634,28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5 160 219,78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9 934 320,31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5 498 529,80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6 320 419,03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9 320 419,03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Kredyty, pożyczki, emisja papierów wartościowych</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300 000,00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744 401,00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300 000,00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744 401,00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1 198 000,20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Nadwyżka budżetowa z</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lat ubiegłych</w:t>
            </w:r>
            <w:r>
              <w:rPr>
                <w:rFonts w:ascii="Times New Roman" w:eastAsia="Times New Roman" w:hAnsi="Times New Roman" w:cs="Times New Roman"/>
                <w:b w:val="0"/>
                <w:i w:val="0"/>
                <w:caps w:val="0"/>
                <w:strike w:val="0"/>
                <w:color w:val="000000"/>
                <w:sz w:val="14"/>
                <w:u w:val="none" w:color="000000"/>
                <w:vertAlign w:val="superscript"/>
              </w:rPr>
              <w:t>X</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6"/>
              <w:t xml:space="preserve">5)</w:t>
            </w:r>
            <w:r>
              <w:rPr>
                <w:rFonts w:ascii="Times New Roman" w:eastAsia="Times New Roman" w:hAnsi="Times New Roman" w:cs="Times New Roman"/>
                <w:b w:val="0"/>
                <w:i w:val="0"/>
                <w:caps w:val="0"/>
                <w:strike w:val="0"/>
                <w:color w:val="000000"/>
                <w:sz w:val="14"/>
                <w:u w:val="none" w:color="000000"/>
                <w:vertAlign w:val="baseline"/>
              </w:rPr>
              <w:t>, w</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477,16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3 062 721,95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3 296 025,93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4 534 320,31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476 390,93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236 774,07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236 774,07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477,16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4 534 320,31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476 390,93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236 774,07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Wolne środki, o których mowa w art. 217 ust.2 pkt 6 ustawy</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78 458,71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150 046,73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50 412,33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1 864 193,85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2 795 198,87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83 644,96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83 644,96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150 046,73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2 005 189,84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udzielonych pożyczek w latach ubiegłych</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130 410,00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Inne przychody niezwiązane z</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zaciągnięciem długu</w:t>
            </w:r>
            <w:r>
              <w:rPr>
                <w:rFonts w:ascii="Times New Roman" w:eastAsia="Times New Roman" w:hAnsi="Times New Roman" w:cs="Times New Roman"/>
                <w:b w:val="0"/>
                <w:i w:val="0"/>
                <w:caps w:val="0"/>
                <w:strike w:val="0"/>
                <w:color w:val="000000"/>
                <w:sz w:val="14"/>
                <w:u w:val="none" w:color="000000"/>
                <w:vertAlign w:val="superscript"/>
              </w:rPr>
              <w:t>X</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7"/>
              <w:t xml:space="preserve">6)</w:t>
            </w:r>
            <w:r>
              <w:rPr>
                <w:rFonts w:ascii="Times New Roman" w:eastAsia="Times New Roman" w:hAnsi="Times New Roman" w:cs="Times New Roman"/>
                <w:b w:val="0"/>
                <w:i w:val="0"/>
                <w:caps w:val="0"/>
                <w:strike w:val="0"/>
                <w:color w:val="000000"/>
                <w:sz w:val="14"/>
                <w:u w:val="none" w:color="000000"/>
                <w:vertAlign w:val="baseline"/>
              </w:rPr>
              <w:t>, w</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96 530,00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5. Rozchody budżetu</w:t>
            </w:r>
            <w:r>
              <w:rPr>
                <w:b/>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592 761,00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487 500,00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219 700,00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530 410,00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696 530,00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rat kapitałowych kredytów i pożyczek oraz wykup papierów wartościowych</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592 761,00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182 200,00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łączna kwota przypadających na dany rok kwot ustawowych wyłączeń z limitu spłaty zobowiązań</w:t>
            </w:r>
            <w:r>
              <w:rPr>
                <w:sz w:val="14"/>
                <w:vertAlign w:val="superscript"/>
              </w:rPr>
              <w:t>X</w:t>
            </w:r>
            <w:r>
              <w:rPr>
                <w:sz w:val="14"/>
              </w:rPr>
              <w:t>, z tego:</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3a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wyłączeń z tytułu wcześniejszej spłaty zobowiązań, określonych w art. 243 ust. 3b ustawy, z tego:</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środkami nowego zobowiązania</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wolnymi środkami, o których mowa w art. 217 ust. 2 pkt 6 ustawy</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innymi środkami</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5.1.1.4</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pozostałych ustawowych wyłączeń z limitu spłaty zobowiązań</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Inne rozchody niezwiązane ze spłatą długu</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37 500,00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130 410,00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96 530,00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6. Kwota długu</w:t>
            </w:r>
            <w:r>
              <w:rPr>
                <w:b/>
                <w:sz w:val="14"/>
                <w:vertAlign w:val="superscript"/>
              </w:rPr>
              <w:t>X</w:t>
            </w:r>
            <w:r>
              <w:rPr>
                <w:b/>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1 044 401,00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1 262 201,00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8 500 000,00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7 900 000,00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6.1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długu, którego planowana spłata dokona się z wydatków</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7. Relacja zrównoważenia wydatków bieżących, o której mowa w art. 242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Różnica między dochodami bieżącymi a wydatkami bieżącymi</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396 162,01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646 926,04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464 785,90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1 495 556,26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523 831,59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-1 231 628,22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1 307 140,10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-741 096,04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1 037 293,06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3 442 630,00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Różnica między dochodami bieżącymi, skorygowanymi o</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środki</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8"/>
              <w:t xml:space="preserve">7)</w:t>
            </w:r>
            <w:r>
              <w:rPr>
                <w:rFonts w:ascii="Times New Roman" w:eastAsia="Times New Roman" w:hAnsi="Times New Roman" w:cs="Times New Roman"/>
                <w:b w:val="0"/>
                <w:i w:val="0"/>
                <w:caps w:val="0"/>
                <w:strike w:val="0"/>
                <w:color w:val="000000"/>
                <w:sz w:val="14"/>
                <w:u w:val="none" w:color="000000"/>
                <w:vertAlign w:val="baseline"/>
              </w:rPr>
              <w:t xml:space="preserve"> a</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wydatkami bieżącymi</w:t>
            </w:r>
            <w:r>
              <w:rPr>
                <w:rFonts w:ascii="Times New Roman" w:eastAsia="Times New Roman" w:hAnsi="Times New Roman" w:cs="Times New Roman"/>
                <w:b w:val="0"/>
                <w:i w:val="0"/>
                <w:caps w:val="0"/>
                <w:strike w:val="0"/>
                <w:color w:val="000000"/>
                <w:sz w:val="14"/>
                <w:u w:val="none" w:color="000000"/>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474 620,72</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797 449,93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3 577 920,18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6 655 776,04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5 458 151,90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2 170 371,58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1 627 559,13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-420 677,01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1 037 293,06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3 442 630,00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8. Wskaźnik spłaty zobowiązań</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lewej stronie nierówności we wzorze, o którym mowa w art. 243 ust. 1 ustawy (po uwzględnieniu zobowiązań związku współtworzonego przez jednostkę samorządu terytorialnego oraz po uwzględnieniu ustawowych wyłączeń przypadających na dany rok)</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4,41%</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prawej stronie nierówności we wzorze, o którym mowa w art. 243 ust. 1 ustawy, ustalona dla danego roku (wskaźnik jednoroczny)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14,94%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-0,86%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8,79%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17,88%</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plan 3 kwartału roku poprzedzającego pierwszy rok prognozy (wskaźnik ustalony w oparciu o średnią arytmetyczną z poprzednich lat)</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6,80%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7,22%</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wykonanie roku poprzedzającego pierwszy rok prognozy (wskaźnik ustalony w oparciu o średnią arytmetyczną z poprzednich lat)</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4,96%</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plan 3 kwartałów roku poprzedzającego rok budżetowy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wykonanie roku poprzedzającego rok budżetowy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9. Finansowanie programów, projektów lub zadań realizowanych z udziałem środków, o których mowa w art. 5 ust. 1 pkt 2 i 3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 na programy, projekty lub zadania finansowane z udziałem środków, o których mowa w art. 5 ust. 1 pkt 2 i 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19 615,93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108 676,80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38 584,55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4 808,60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62 700,00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Dotacje i środki o charakterze bieżącym na realizację programu, projektu lub zadania finansowanego z udziałem środków, o których mowa w art. 5 ust. 1 pkt 2 ustawy</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19 615,93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108 676,80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38 584,55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4 808,60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62 700,00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19 615,93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94 108,79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34 834,58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4 808,60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51 740,04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i 3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354 263,96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197 309,52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151 030,00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2 301 199,54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1 038 476,20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288 476,20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6 008 405,61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ustawy,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354 263,96</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197 309,52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151 030,00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2 301 199,54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1 038 476,20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288 476,20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6 008 405,61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205 586,59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141 054,84</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197 309,52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142 116,76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1 976 637,63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773 999,08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233 999,08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6 008 405,61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i 3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39 750,03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119 599,00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29 771,75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38 483,95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57 907,93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3 772,00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3 161,64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75 701,64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250 800,00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ustawy</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39 750,03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119 599,00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29 771,75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38 483,95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57 907,93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3 772,00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3 161,64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75 701,64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250 800,00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29 527,11</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97 642,03</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23 249,78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32 859,98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43 008,08</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51 740,04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206 960,16</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i 3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26 702,07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280 653,08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352 712,00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110 827,50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629 693,04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1 549 662,62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358 595,43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358 595,43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7 705 536,81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2 830 000,00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ustawy,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26 702,07</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280 653,08</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352 712,00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110 827,50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629 693,04</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1 549 662,62</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358 595,43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358 595,43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7 705 536,81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2 830 000,00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16 281,75</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147 785,49</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211 627,20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557 146,63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1 126 251,57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290 795,29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290 795,29</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6 008 405,61</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2 520 000,00</w:t>
            </w:r>
          </w:p>
        </w:tc>
      </w:tr>
      <w:tr>
        <w:tblPrEx>
          <w:tblW w:w="5000" w:type="pct"/>
          <w:tblLayout w:type="fixed"/>
        </w:tblPrEx>
        <w:trPr>
          <w:trHeight w:hRule="auto" w:val="0"/>
        </w:trPr>
        <w:tc>
          <w:tcPr>
            <w:tcW w:w="7713"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10. Informacje uzupełniające o wybranych kategoriach finansowych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objęte limitem, o którym mowa w art. 226 ust. 3 pkt 4 ustawy, z tego:</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2 040 124,00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4 230 451,57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13 058 384,65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14 797 938,00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17 210 895,43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2 520 000,00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4 021 000,00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bieżące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1 620 124,00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1 687 051,57</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2 337 000,00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2 061 938,00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2 375 000,00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2 020 000,00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2 521 000,00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majątkowe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420 000,00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2 543 400,00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10 721 384,65</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12 736 000,00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14 835 895,43</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10.2</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pokrycie ujemnego wyniku finansowego samodzielnego publicznego zakładu opieki zdrowotnej</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10.3</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spłatę zobowiązań przejmowanych w związku z likwidacją lub przekształceniem samodzielnego publicznego zakładu opieki zdrowotnej</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10.4</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związku współtworzonego przez jednostkę samorządu terytorialnego przypadających do spłaty w danym roku budżetowym, podlegająca doliczeniu zgodnie z art. 244 ustawy</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10.5</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wynikających z przejęcia przez jednostkę samorządu terytorialnego zobowiązań po likwidowanych i przekształcanych samorządowych osobach prawnych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10.6</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o których mowa w poz. 5.1, wynikające wyłącznie z tytułu zobowiązań już zaciągniętych</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592 761,00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450 000,00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182 200,00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862 201,00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zmniejszające dług</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wymagalnych z lat poprzednich, innych niż w poz. 10.7.3</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zaliczanych do tytułu dłużnego – kredyt i pożyczka</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41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zobowiązań zaciągniętych po dniu 1 stycznia 2019 r.</w:t>
            </w:r>
            <w:r>
              <w:rPr>
                <w:sz w:val="14"/>
                <w:vertAlign w:val="superscript"/>
              </w:rPr>
              <w:t>X</w:t>
            </w:r>
            <w:r>
              <w:rPr>
                <w:sz w:val="14"/>
              </w:rPr>
              <w:t>, w tym:</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10.7.2.1.1</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37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063"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dokonywana w formie wydatku bieżącego</w:t>
            </w:r>
            <w:r>
              <w:rPr>
                <w:sz w:val="14"/>
                <w:vertAlign w:val="superscript"/>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10.7.3</w:t>
            </w:r>
          </w:p>
        </w:tc>
        <w:tc>
          <w:tcPr>
            <w:tcW w:w="40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788"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wypłaty z tytułu wymagalnych poręczeń i gwarancji</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10.8</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wzrostu(+)/spadku(−) kwoty długu wynikająca z operacji niekasowych (m.in. umorzenia, różnice kursowe)</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10.9</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Wcześniejsza spłata zobowiązań, wyłączona z limitu spłaty zobowiązań, dokonywana w formie wydatków budżetowych</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10.10</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Wykup papierów wartościowych, spłaty rat kredytów i pożyczek wraz z należnymi odsetkami i dyskontem, odpowiednio emitowanych lub zaciągniętych do równowartości kwoty ubytku w wykonanych dochodach jednostki samorządu terytorialnego będącego skutkiem wystąpienia COVID-19</w:t>
            </w:r>
            <w:r>
              <w:rPr>
                <w:sz w:val="14"/>
                <w:vertAlign w:val="superscript"/>
              </w:rPr>
              <w:t>X</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6188"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14"/>
                <w:u w:val="none" w:color="000000"/>
                <w:vertAlign w:val="baseline"/>
              </w:rPr>
              <w:t>Wydatki bieżące podlegające ustawowemu wyłączeniu z</w:t>
            </w:r>
            <w:r>
              <w:rPr>
                <w:rFonts w:ascii="Times New Roman" w:eastAsia="Times New Roman" w:hAnsi="Times New Roman" w:cs="Times New Roman"/>
                <w:b w:val="0"/>
                <w:i w:val="0"/>
                <w:caps w:val="0"/>
                <w:strike w:val="0"/>
                <w:color w:val="000000"/>
                <w:sz w:val="14"/>
                <w:u w:val="none" w:color="000000"/>
                <w:vertAlign w:val="baseline"/>
              </w:rPr>
              <w:t> </w:t>
            </w:r>
            <w:r>
              <w:rPr>
                <w:rFonts w:ascii="Times New Roman" w:eastAsia="Times New Roman" w:hAnsi="Times New Roman" w:cs="Times New Roman"/>
                <w:b w:val="0"/>
                <w:i w:val="0"/>
                <w:caps w:val="0"/>
                <w:strike w:val="0"/>
                <w:color w:val="000000"/>
                <w:sz w:val="14"/>
                <w:u w:val="none" w:color="000000"/>
                <w:vertAlign w:val="baseline"/>
              </w:rPr>
              <w:t>limitu spłaty zobowiązań</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9"/>
              <w:t xml:space="preserve">8)</w:t>
            </w:r>
            <w:r>
              <w:rPr>
                <w:rFonts w:ascii="Times New Roman" w:eastAsia="Times New Roman" w:hAnsi="Times New Roman" w:cs="Times New Roman"/>
                <w:b w:val="0"/>
                <w:i w:val="0"/>
                <w:caps w:val="0"/>
                <w:strike w:val="0"/>
                <w:color w:val="000000"/>
                <w:sz w:val="22"/>
                <w:u w:val="none" w:color="000000"/>
                <w:vertAlign w:val="baseline"/>
              </w:rPr>
              <w:t> </w:t>
            </w:r>
          </w:p>
        </w:tc>
        <w:tc>
          <w:tcPr>
            <w:tcW w:w="1550"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25"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51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692"/>
        <w:gridCol w:w="432"/>
        <w:gridCol w:w="408"/>
        <w:gridCol w:w="408"/>
        <w:gridCol w:w="5569"/>
        <w:gridCol w:w="24"/>
        <w:gridCol w:w="1680"/>
        <w:gridCol w:w="1680"/>
        <w:gridCol w:w="1680"/>
        <w:gridCol w:w="1680"/>
        <w:gridCol w:w="1680"/>
        <w:gridCol w:w="1680"/>
        <w:gridCol w:w="1680"/>
        <w:gridCol w:w="1694"/>
      </w:tblGrid>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Wyszczególnienie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4"/>
              </w:rPr>
              <w:t>2028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14"/>
                <w:u w:val="none" w:color="000000"/>
                <w:vertAlign w:val="baseline"/>
              </w:rPr>
              <w:t>2029</w:t>
            </w:r>
            <w:r>
              <w:rPr>
                <w:rStyle w:val="FootnoteReference"/>
                <w:rFonts w:ascii="Times New Roman" w:eastAsia="Times New Roman" w:hAnsi="Times New Roman" w:cs="Times New Roman"/>
                <w:b w:val="0"/>
                <w:i w:val="0"/>
                <w:caps w:val="0"/>
                <w:strike w:val="0"/>
                <w:color w:val="000000"/>
                <w:sz w:val="14"/>
                <w:u w:val="none" w:color="000000"/>
                <w:vertAlign w:val="superscript"/>
              </w:rPr>
              <w:footnoteReference w:customMarkFollows="1" w:id="10"/>
              <w:t xml:space="preserve">9)</w:t>
            </w:r>
            <w:r>
              <w:rPr>
                <w:rFonts w:ascii="Times New Roman" w:eastAsia="Times New Roman" w:hAnsi="Times New Roman" w:cs="Times New Roman"/>
                <w:b w:val="0"/>
                <w:i w:val="0"/>
                <w:caps w:val="0"/>
                <w:strike w:val="0"/>
                <w:color w:val="000000"/>
                <w:sz w:val="22"/>
                <w:u w:val="none" w:color="000000"/>
                <w:vertAlign w:val="baseline"/>
              </w:rPr>
              <w:t> </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2032</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2033</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2034</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2035</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1. Dochody ogółem</w:t>
            </w:r>
            <w:r>
              <w:rPr>
                <w:b/>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23 494 645,00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24 135 695,00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24 774 087,00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25 525 909,00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25 295 915,00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25 801 833,00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26 317 869,00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26 844 227,00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w:t>
            </w:r>
            <w:r>
              <w:rPr>
                <w:sz w:val="14"/>
                <w:vertAlign w:val="superscript"/>
              </w:rPr>
              <w:t>X</w:t>
            </w:r>
            <w:r>
              <w:rPr>
                <w:sz w:val="14"/>
              </w:rPr>
              <w:t>, z tego:</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22 894 645,00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23 485 695,00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24 124 087,00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24 727 189,00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25 295 915,00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25 801 833,00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26 317 869,00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26 844 227,00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fizycznych</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6 478 959,00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6 660 370,00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6 826 879,00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6 997 551,00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7 158 495,00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7 301 665,00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7 447 698,00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7 596 652,00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z tytułu udziału we wpływach z podatku dochodowego od osób prawnych</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59 374,00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61 036,00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62 562,00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64 126,00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65 601,00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66 913,00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68 251,00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69 616,00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subwencji ogólnej</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5 445 074,00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5 803 136,00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5 948 214,00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6 096 919,00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6 237 148,00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6 361 891,00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6 489 129,00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6 618 912,00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1.1.4</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dotacji i środków przeznaczonych na cele bieżące</w:t>
            </w:r>
            <w:r>
              <w:rPr>
                <w:sz w:val="14"/>
                <w:vertAlign w:val="superscript"/>
              </w:rPr>
              <w:t>X3</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1 800 350,00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1 868 236,00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1 914 942,00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1 962 816,00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2 007 961,00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2 048 120,00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2 089 082,00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2 130 864,00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pozostałe dochody bieżące</w:t>
            </w:r>
            <w:r>
              <w:rPr>
                <w:sz w:val="14"/>
                <w:vertAlign w:val="superscript"/>
              </w:rPr>
              <w:t>4</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9 110 888,00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9 092 917,00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9 371 490,00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9 605 777,00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9 826 710,00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10 023 244,00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10 223 709,00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10 428 183,00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1.1.5.1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podatku od nieruchomości</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3 385 051,00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3 274 232,00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3 356 088,00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3 439 990,00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3 519 110,00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3 589 492,00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3 661 282,00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3 734 508,00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798 720,00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ze sprzedaży majątku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1.2.2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dotacji oraz środków przeznaczonych na inwestycje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650 000,00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798 720,00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2. Wydatki ogółem</w:t>
            </w:r>
            <w:r>
              <w:rPr>
                <w:b/>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22 594 645,00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23 135 695,00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23 774 087,00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24 525 909,00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24 295 915,00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24 801 833,00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25 317 869,00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25 844 227,00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19 984 883,00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20 445 222,00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20 932 627,00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21 430 693,00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21 994 196,00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22 568 059,00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23 149 868,00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23 739 456,00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wynagrodzenia i składki od nich naliczane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12 130 383,00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12 610 746,00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12 978 980,00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13 344 987,00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13 718 647,00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14 085 621,00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14 455 369,00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14 827 595,00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 tytułu poręczeń i gwarancji</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gwarancje i poręczenia podlegające wyłączeniu z limitu spłaty zobowiązań, o którym mowa w art. 243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obsługę długu</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320 000,00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276 000,00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231 000,00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185 000,00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94 000,00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48 000,00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w terminie nie dłuższym niż 90 dni po zakończeniu programu, projektu lub zadania i otrzymaniu refundacji z tych środków (bez odsetek i dyskonta od zobowiązań na wkład krajowy)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odsetki i dyskonto podlegające wyłączeniu z limitu spłaty zobowiązań, o którym mowa w art. 243 ustawy, z tytułu zobowiązań zaciągniętych na wkład krajowy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2.1.3.3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pozostałe odsetki i dyskonto podlegające wyłączeniu z limitu spłaty zobowiązań, o którym mowa w art. 243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2 609 762,00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2 690 473,00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2 841 460,00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3 095 216,00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2 301 719,00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2 233 774,00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2 168 001,00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2 104 771,00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Inwestycje i zakupy inwestycyjne, o których mowa w art. 236 ust. 4 pkt 1 ustawy,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2 609 762,00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2 690 473,00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2 841 460,00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3 095 216,00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2 301 719,00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2 233 774,00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2 168 001,00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2 104 771,00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2.2.1.1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 charakterze dotacyjnym na inwestycje i zakupy inwestycyjne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3. Wynik budżetu</w:t>
            </w:r>
            <w:r>
              <w:rPr>
                <w:b/>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3.1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prognozowanej nadwyżki budżetu przeznaczana na spłatę kredytów, pożyczek i wykup papierów wartościowych</w:t>
            </w:r>
            <w:r>
              <w:rPr>
                <w:sz w:val="14"/>
                <w:vertAlign w:val="superscript"/>
              </w:rPr>
              <w:t>5</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500 000,00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4. Przychody budżetu</w:t>
            </w:r>
            <w:r>
              <w:rPr>
                <w:b/>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Kredyty, pożyczki, emisja papierów wartościowych</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Nadwyżka budżetowa z lat ubiegłych</w:t>
            </w:r>
            <w:r>
              <w:rPr>
                <w:sz w:val="14"/>
                <w:vertAlign w:val="superscript"/>
              </w:rPr>
              <w:t>X6</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Wolne środki, o których mowa w art. 217 ust.2 pkt 6 ustawy</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4.3.1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udzielonych pożyczek w latach ubiegłych</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4.4.1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Inne przychody niezwiązane z zaciągnięciem długu</w:t>
            </w:r>
            <w:r>
              <w:rPr>
                <w:sz w:val="14"/>
                <w:vertAlign w:val="superscript"/>
              </w:rPr>
              <w:t>X7</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4.5.1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na pokrycie deficytu budżetu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5. Rozchody budżetu</w:t>
            </w:r>
            <w:r>
              <w:rPr>
                <w:b/>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rat kapitałowych kredytów i pożyczek oraz wykup papierów wartościowych</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łączna kwota przypadających na dany rok kwot ustawowych wyłączeń z limitu spłaty zobowiązań</w:t>
            </w:r>
            <w:r>
              <w:rPr>
                <w:sz w:val="14"/>
                <w:vertAlign w:val="superscript"/>
              </w:rPr>
              <w:t>X</w:t>
            </w:r>
            <w:r>
              <w:rPr>
                <w:sz w:val="14"/>
              </w:rPr>
              <w:t>, z tego:</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wyłączeń określonych w art. 243 ust. 3a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wyłączeń z tytułu wcześniejszej spłaty zobowiązań, określonych w art. 243 ust. 3b ustawy, z tego:</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8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środkami nowego zobowiązania</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8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wolnymi środkami, o których mowa w art. 217 ust. 2 pkt 6 ustawy</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5.1.1.3.3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8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innymi środkami</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5.1.1.4</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przypadających na dany rok kwot pozostałych ustawowych wyłączeń z limitu spłaty zobowiązań</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5.2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Inne rozchody niezwiązane ze spłatą długu</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6. Kwota długu</w:t>
            </w:r>
            <w:r>
              <w:rPr>
                <w:b/>
                <w:sz w:val="14"/>
                <w:vertAlign w:val="superscript"/>
              </w:rPr>
              <w:t>X</w:t>
            </w:r>
            <w:r>
              <w:rPr>
                <w:b/>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6.1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długu, którego planowana spłata dokona się z wydatków</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7. Relacja zrównoważenia wydatków bieżących, o której mowa w art. 242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Różnica między dochodami bieżącymi a wydatkami bieżącymi</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2 909 762,00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3 040 473,00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3 191 460,00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3 296 496,00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3 301 719,00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3 233 774,00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3 168 001,00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3 104 771,00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7.2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Różnica między dochodami bieżącymi, skorygowanymi o środki</w:t>
            </w:r>
            <w:r>
              <w:rPr>
                <w:sz w:val="14"/>
                <w:vertAlign w:val="superscript"/>
              </w:rPr>
              <w:t>8</w:t>
            </w:r>
            <w:r>
              <w:rPr>
                <w:sz w:val="14"/>
              </w:rPr>
              <w:t xml:space="preserve"> a wydatkami bieżącymi</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2 909 762,00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3 040 473,00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3 191 460,00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3 296 496,00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3 301 719,00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3 233 774,00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3 168 001,00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3 104 771,00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8. Wskaźnik spłaty zobowiązań</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lewej stronie nierówności we wzorze, o którym mowa w art. 243 ust. 1 ustawy (po uwzględnieniu zobowiązań związku współtworzonego przez jednostkę samorządu terytorialnego oraz po uwzględnieniu ustawowych wyłączeń przypadających na dany rok)</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5,78%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5,90%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5,54%</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5,21%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4,90%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4,61%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4,33%</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4,10%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Relacja określona po prawej stronie nierówności we wzorze, o którym mowa w art. 243 ust. 1 ustawy, ustalona dla danego roku (wskaźnik jednoroczny)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15,31%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15,34%</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15,41%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15,29%</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14,78%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14,01%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13,27%</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12,62%</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plan 3 kwartału roku poprzedzającego pierwszy rok prognozy (wskaźnik ustalony w oparciu o średnią arytmetyczną z poprzednich lat)</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8,57%</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9,84%</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10,22%</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11,76%</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14,71%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14,69%</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15,43%</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14,77%</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8.3.1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Dopuszczalny limit spłaty zobowiązań określony po prawej stronie nierówności we wzorze, o którym mowa w art. 243 ustawy, po uwzględnieniu ustawowych wyłączeń, obliczony w oparciu o wykonanie roku poprzedzającego pierwszy rok prognozy (wskaźnik ustalony w oparciu o średnią arytmetyczną z poprzednich lat)</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6,31%</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7,58%</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7,96%</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9,50%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12,45%</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14,69%</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15,43%</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14,77%</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plan 3 kwartałów roku poprzedzającego rok budżetowy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8.4.1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Informacja o spełnieniu wskaźnika spłaty zobowiązań określonego w art. 243 ustawy, po uwzględnieniu zobowiązań związku współtworzonego przez jednostkę samorządu terytorialnego oraz po uwzględnieniu ustawowych wyłączeń, obliczonego w oparciu o wykonanie roku poprzedzającego rok budżetowy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TAK</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9. Finansowanie programów, projektów lub zadań realizowanych z udziałem środków, o których mowa w art. 5 ust. 1 pkt 2 i 3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bieżące na programy, projekty lub zadania finansowane z udziałem środków, o których mowa w art. 5 ust. 1 pkt 2 i 3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Dotacje i środki o charakterze bieżącym na realizację programu, projektu lub zadania finansowanego z udziałem środków, o których mowa w art. 5 ust. 1 pkt 2 ustawy</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9.1.1.1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i 3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Dochody majątkowe na programy, projekty lub zadania finansowane z udziałem środków, o których mowa w art. 5 ust. 1 pkt 2 ustawy,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9.2.1.1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środki określone w art. 5 ust. 1 pkt 2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i 3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210 000,00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130 000,00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programy, projekty lub zadania finansowane z udziałem środków, o których mowa w art. 5 ust. 1 pkt 2 ustawy</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9.3.1.1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i 3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majątkowe na programy, projekty lub zadania finansowane z udziałem środków, o których mowa w art. 5 ust. 1 pkt 2 ustawy,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9.4.1.1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finansowane środkami określonymi w art. 5 ust. 1 pkt 2 ustawy</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8862" w:type="dxa"/>
            <w:gridSpan w:val="5"/>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b/>
                <w:sz w:val="14"/>
              </w:rPr>
              <w:t>10. Informacje uzupełniające o wybranych kategoriach finansowych</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objęte limitem, o którym mowa w art. 226 ust. 3 pkt 4 ustawy, z tego:</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4 172 000,00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4 784 000,00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4 566 000,00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3 271 000,00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3 472 000,00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3 665 000,00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3 897 000,00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bieżące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2 672 000,00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2 784 000,00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2 866 000,00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3 090 000,00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3 271 000,00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3 472 000,00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3 665 000,00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3 897 000,00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majątkowe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1 500 000,00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2 000 000,00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1 700 000,00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10.2</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na pokrycie ujemnego wyniku finansowego samodzielnego publicznego zakładu opieki zdrowotnej</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10.3</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na spłatę zobowiązań przejmowanych w związku z likwidacją lub przekształceniem samodzielnego publicznego zakładu opieki zdrowotnej</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10.4</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związku współtworzonego przez jednostkę samorządu terytorialnego przypadających do spłaty w danym roku budżetowym, podlegająca doliczeniu zgodnie z art. 244 ustawy</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10.5</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zobowiązań wynikających z przejęcia przez jednostkę samorządu terytorialnego zobowiązań po likwidowanych i przekształcanych samorządowych osobach prawnych</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10.6</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Spłaty, o których mowa w poz. 5.1, wynikające wyłącznie z tytułu zobowiązań już zaciągniętych</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1 000 000,00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zmniejszające dług</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wymagalnych z lat poprzednich, innych niż w poz. 10.7.3</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spłata zobowiązań zaliczanych do tytułu dłużnego – kredyt i pożyczka</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2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zobowiązań zaciągniętych po dniu 1 stycznia 2019 r.</w:t>
            </w:r>
            <w:r>
              <w:rPr>
                <w:sz w:val="14"/>
                <w:vertAlign w:val="superscript"/>
              </w:rPr>
              <w:t>X</w:t>
            </w:r>
            <w:r>
              <w:rPr>
                <w:sz w:val="14"/>
              </w:rPr>
              <w:t>, w tym:</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10.7.2.1.1</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425"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5825" w:type="dxa"/>
            <w:gridSpan w:val="2"/>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dokonywana w formie wydatku bieżącego</w:t>
            </w:r>
            <w:r>
              <w:rPr>
                <w:sz w:val="14"/>
                <w:vertAlign w:val="superscript"/>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10.7.3</w:t>
            </w:r>
          </w:p>
        </w:tc>
        <w:tc>
          <w:tcPr>
            <w:tcW w:w="450" w:type="dxa"/>
            <w:tcBorders>
              <w:top w:val="single" w:sz="4" w:space="0" w:color="auto"/>
              <w:left w:val="nil"/>
              <w:bottom w:val="single" w:sz="4" w:space="0" w:color="auto"/>
              <w:right w:val="nil"/>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p>
        </w:tc>
        <w:tc>
          <w:tcPr>
            <w:tcW w:w="6650" w:type="dxa"/>
            <w:gridSpan w:val="3"/>
            <w:tcBorders>
              <w:top w:val="single" w:sz="4" w:space="0" w:color="auto"/>
              <w:left w:val="nil"/>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wypłaty z tytułu wymagalnych poręczeń i gwarancji</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10.8</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Kwota wzrostu(+)/spadku(−) kwoty długu wynikająca z operacji niekasowych (m.in. umorzenia, różnice kursowe)</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10.9</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Wcześniejsza spłata zobowiązań, wyłączona z limitu spłaty zobowiązań, dokonywana w formie wydatków budżetowych</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x</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10.10</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Wykup papierów wartościowych, spłaty rat kredytów i pożyczek wraz z należnymi odsetkami i dyskontem, odpowiednio emitowanych lub zaciągniętych do równowartości kwoty ubytku w wykonanych dochodach jednostki samorządu terytorialnego będącego skutkiem wystąpienia COVID-19</w:t>
            </w:r>
            <w:r>
              <w:rPr>
                <w:sz w:val="14"/>
                <w:vertAlign w:val="superscript"/>
              </w:rPr>
              <w:t>X</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r>
        <w:tblPrEx>
          <w:tblW w:w="5000" w:type="pct"/>
          <w:tblLayout w:type="fixed"/>
        </w:tblPrEx>
        <w:trPr>
          <w:trHeight w:hRule="auto" w:val="0"/>
        </w:trPr>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10.11</w:t>
            </w:r>
          </w:p>
        </w:tc>
        <w:tc>
          <w:tcPr>
            <w:tcW w:w="7100" w:type="dxa"/>
            <w:gridSpan w:val="4"/>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left"/>
              <w:rPr>
                <w:rFonts w:ascii="Times New Roman" w:eastAsia="Times New Roman" w:hAnsi="Times New Roman" w:cs="Times New Roman"/>
                <w:b w:val="0"/>
                <w:i w:val="0"/>
                <w:caps w:val="0"/>
                <w:strike w:val="0"/>
                <w:color w:val="000000"/>
                <w:sz w:val="22"/>
                <w:u w:val="none" w:color="000000"/>
                <w:vertAlign w:val="baseline"/>
              </w:rPr>
            </w:pPr>
            <w:r>
              <w:rPr>
                <w:sz w:val="14"/>
              </w:rPr>
              <w:t>Wydatki bieżące podlegające ustawowemu wyłączeniu z limitu spłaty zobowiązań</w:t>
            </w:r>
            <w:r>
              <w:rPr>
                <w:sz w:val="14"/>
                <w:vertAlign w:val="superscript"/>
              </w:rPr>
              <w:t>9</w:t>
            </w:r>
          </w:p>
        </w:tc>
        <w:tc>
          <w:tcPr>
            <w:tcW w:w="1775"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50"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c>
          <w:tcPr>
            <w:tcW w:w="1762" w:type="dxa"/>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jc w:val="right"/>
              <w:rPr>
                <w:rFonts w:ascii="Times New Roman" w:eastAsia="Times New Roman" w:hAnsi="Times New Roman" w:cs="Times New Roman"/>
                <w:b w:val="0"/>
                <w:i w:val="0"/>
                <w:caps w:val="0"/>
                <w:strike w:val="0"/>
                <w:color w:val="000000"/>
                <w:sz w:val="22"/>
                <w:u w:val="none" w:color="000000"/>
                <w:vertAlign w:val="baseline"/>
              </w:rPr>
            </w:pPr>
            <w:r>
              <w:rPr>
                <w:sz w:val="14"/>
              </w:rPr>
              <w:t>0,00</w:t>
            </w:r>
          </w:p>
        </w:tc>
      </w:tr>
    </w:tbl>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 Informacje zawarte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tej części wieloletniej prognozy finansowej,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tym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spełnieniu relacji określonej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243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zostaną automatycznie wygenerowane przez aplikację wskazaną przez Ministra Finansów,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której mowa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4</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rozporządzenia, na podstawie danych historycznych oraz prognozowanych przez jednostkę samorządu terytorialnego. Automatyczne wyliczenia danych na podstawie wartości historycznych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prognozowanych przez jednostkę samorządu terytorialnego dotyczą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szczególności także pozycji 8.3–8.3.1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pozycji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sekcji 12.</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sectPr>
          <w:footerReference w:type="default" r:id="rId6"/>
          <w:endnotePr>
            <w:numFmt w:val="decimal"/>
          </w:endnotePr>
          <w:type w:val="nextPage"/>
          <w:pgSz w:w="23811" w:h="16838" w:orient="landscape"/>
          <w:pgMar w:top="992" w:right="1020" w:bottom="992" w:left="1020" w:header="708" w:footer="708" w:gutter="0"/>
          <w:pgNumType w:start="1"/>
          <w:cols w:space="708"/>
          <w:docGrid w:linePitch="360"/>
        </w:sectPr>
      </w:pPr>
      <w:r>
        <w:rPr>
          <w:rFonts w:ascii="Times New Roman" w:eastAsia="Times New Roman" w:hAnsi="Times New Roman" w:cs="Times New Roman"/>
          <w:b w:val="0"/>
          <w:i w:val="0"/>
          <w:caps w:val="0"/>
          <w:strike w:val="0"/>
          <w:color w:val="000000"/>
          <w:sz w:val="22"/>
          <w:u w:val="none" w:color="000000"/>
          <w:vertAlign w:val="baseline"/>
        </w:rPr>
        <w:t>x - pozycje oznaczone symbolem „x” sporządza się na okres prognozy kwoty długu, zgodnie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ustawy. Okres ten nie</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wydłużeniu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sytuacji planowania wydatków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niewymagalnych poręczeń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gwarancji.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przypadku planowania wydatków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niewymagalnych poręczeń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gwarancji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okresie dłuższym niż okres, na który zaciągnięto oraz planuje się zaciągnąć zobowiązania dłużne, informację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wydatkach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tytułu niewymagalnych poręczeń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gwarancji, wykraczających poza wspomniany okres, należy zamieścić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objaśnieniach do wieloletniej prognozy finansowej.</w:t>
      </w:r>
    </w:p>
    <w:p w:rsidR="00A77B3E">
      <w:pPr>
        <w:keepNext/>
        <w:spacing w:before="120" w:after="120" w:line="360" w:lineRule="auto"/>
        <w:ind w:left="17049"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XXI/146/2025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Gminy Gręboszów</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30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2025</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Wykaz przedsięwzięć do WPF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28"/>
        <w:gridCol w:w="7933"/>
        <w:gridCol w:w="1836"/>
        <w:gridCol w:w="661"/>
        <w:gridCol w:w="660"/>
        <w:gridCol w:w="1"/>
        <w:gridCol w:w="1668"/>
        <w:gridCol w:w="1"/>
        <w:gridCol w:w="1679"/>
        <w:gridCol w:w="1"/>
        <w:gridCol w:w="1679"/>
        <w:gridCol w:w="1"/>
        <w:gridCol w:w="1679"/>
        <w:gridCol w:w="1"/>
        <w:gridCol w:w="1679"/>
        <w:gridCol w:w="1"/>
        <w:gridCol w:w="1679"/>
      </w:tblGrid>
      <w:tr>
        <w:tblPrEx>
          <w:tblW w:w="5000" w:type="pct"/>
          <w:tblLayout w:type="fixed"/>
        </w:tblPrEx>
        <w:trPr>
          <w:trHeight w:hRule="auto" w:val="0"/>
        </w:trPr>
        <w:tc>
          <w:tcPr>
            <w:tcW w:w="862" w:type="dxa"/>
            <w:vMerge w:val="restart"/>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Lp.</w:t>
            </w:r>
          </w:p>
        </w:tc>
        <w:tc>
          <w:tcPr>
            <w:tcW w:w="8262" w:type="dxa"/>
            <w:vMerge w:val="restart"/>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Nazwa i cel</w:t>
            </w:r>
          </w:p>
        </w:tc>
        <w:tc>
          <w:tcPr>
            <w:tcW w:w="1912" w:type="dxa"/>
            <w:vMerge w:val="restart"/>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Jednostka odpowiedzialna lub koordynująca</w:t>
            </w:r>
          </w:p>
        </w:tc>
        <w:tc>
          <w:tcPr>
            <w:tcW w:w="1376" w:type="dxa"/>
            <w:gridSpan w:val="2"/>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Okres realizacji</w:t>
            </w:r>
          </w:p>
        </w:tc>
        <w:tc>
          <w:tcPr>
            <w:tcW w:w="1738" w:type="dxa"/>
            <w:gridSpan w:val="2"/>
            <w:vMerge w:val="restart"/>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Łącznie nakłady finansowe</w:t>
            </w:r>
          </w:p>
        </w:tc>
        <w:tc>
          <w:tcPr>
            <w:tcW w:w="1750" w:type="dxa"/>
            <w:gridSpan w:val="2"/>
            <w:vMerge w:val="restart"/>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2026</w:t>
            </w:r>
          </w:p>
        </w:tc>
        <w:tc>
          <w:tcPr>
            <w:tcW w:w="1750" w:type="dxa"/>
            <w:gridSpan w:val="2"/>
            <w:vMerge w:val="restart"/>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2027</w:t>
            </w:r>
          </w:p>
        </w:tc>
        <w:tc>
          <w:tcPr>
            <w:tcW w:w="1750" w:type="dxa"/>
            <w:gridSpan w:val="2"/>
            <w:vMerge w:val="restart"/>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2028</w:t>
            </w:r>
          </w:p>
        </w:tc>
        <w:tc>
          <w:tcPr>
            <w:tcW w:w="1750" w:type="dxa"/>
            <w:gridSpan w:val="2"/>
            <w:vMerge w:val="restart"/>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2029</w:t>
            </w:r>
          </w:p>
        </w:tc>
        <w:tc>
          <w:tcPr>
            <w:tcW w:w="1750" w:type="dxa"/>
            <w:gridSpan w:val="2"/>
            <w:vMerge w:val="restart"/>
            <w:tcBorders>
              <w:top w:val="single" w:sz="4"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2030</w:t>
            </w:r>
          </w:p>
        </w:tc>
      </w:tr>
      <w:tr>
        <w:tblPrEx>
          <w:tblW w:w="5000" w:type="pct"/>
          <w:tblLayout w:type="fixed"/>
        </w:tblPrEx>
        <w:trPr>
          <w:trHeight w:hRule="auto" w:val="0"/>
        </w:trPr>
        <w:tc>
          <w:tcPr>
            <w:tcW w:w="862" w:type="dxa"/>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8262" w:type="dxa"/>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912" w:type="dxa"/>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od</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do</w:t>
            </w:r>
          </w:p>
        </w:tc>
        <w:tc>
          <w:tcPr>
            <w:tcW w:w="1738"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przedsięwzięcia-ogółem (1.1+1.2+1.3)</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37 458 000,00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2 520 000,00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4 021 000,00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4 172 000,00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4 784 000,00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4 566 000,00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1.a</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30 258 000,00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2 020 000,00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2 521 000,00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2 672 000,00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2 784 000,00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2 866 000,00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1.b</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2 000 000,00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1 700 000,00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związane z programami realizowanymi z udziałem środków, o których mowa w art.5 ust.1 pkt 2 i 3 ustawy z dnia 27 sierpnia 2009.r. o finansach publicznych (Dz.U. z 2017 r. poz. 2077, z późn.zm.), z tego:</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580 000,00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240 000,00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210 000,00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130 000,00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1.1.1</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580 000,00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240 000,00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210 000,00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130 000,00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1.1.1.1</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Wdrażanie Programu ochrony powietrza w Gminie Gręboszów - Projekt związany z zatrudnieniem ekodoradcy,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2029</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580 000,00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240 000,00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210 000,00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130 000,00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1.1.2</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związane z umowami partnerstwa publiczno-prywatnego, z tego:</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1.2.1</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1.2.2</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pozostałe (inne niż wymienione w pkt 1.1 i 1.2), z tego</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36 878 000,00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2 520 000,00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3 781 000,00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3 962 000,00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4 654 000,00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4 566 000,00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1.3.1</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29 678 000,00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2 020 000,00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2 281 000,00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2 462 000,00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2 654 000,00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2 866 000,00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1.3.1.1</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Licencje i programy komputerowe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1 900 000,00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160 000,00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170 000,00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180 000,00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190 000,00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1.3.1.2</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Finansowanie utrzymania mieszkańców gminy w Domach Pomocy Społecznej - Finansowanie pobytu mieszkańców z terenu Gminy Gręboszów w DPS-ach</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Gminny Ośrodek Pomocy Społecznej</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7 200 000,00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750 000,00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1.3.1.3</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Obsługa bankowa budżetu Gminy Gręboszów na podstawie art. 264 uofp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278 000,00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21 000,00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22 000,00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24 000,00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26 000,00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1.3.1.4</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Oświetlenie placów ulic i dróg: dostawa energii do budynków i budowli stanowiących mienie gminne - Realizacja zadań własnych jst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3 550 000,00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270 000,00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350 000,00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1.3.1.5</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Wywóz odpadów komunalnych z terenu Gminy Gręboszów - Wywóż śmieci</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12 000 000,00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900 000,00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950 000,00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1 000 000,00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1 050 000,00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1 100 000,00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1.3.1.6</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Zimowe utrzymanie dróg publicznych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4 750 000,00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450 000,00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1.3.2</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2 000 000,00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1 700 000,00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1.3.2.1</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Przebudowa kanału Hubenickiego na terenie Gminy Gręboszów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2030</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7 200 000,00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2 000 000,00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1 700 000,00</w:t>
            </w: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28"/>
        <w:gridCol w:w="7933"/>
        <w:gridCol w:w="1836"/>
        <w:gridCol w:w="661"/>
        <w:gridCol w:w="660"/>
        <w:gridCol w:w="1"/>
        <w:gridCol w:w="1668"/>
        <w:gridCol w:w="1"/>
        <w:gridCol w:w="1679"/>
        <w:gridCol w:w="1"/>
        <w:gridCol w:w="1679"/>
        <w:gridCol w:w="1"/>
        <w:gridCol w:w="1679"/>
        <w:gridCol w:w="1"/>
        <w:gridCol w:w="1679"/>
        <w:gridCol w:w="1"/>
        <w:gridCol w:w="1679"/>
      </w:tblGrid>
      <w:tr>
        <w:tblPrEx>
          <w:tblW w:w="5000" w:type="pct"/>
          <w:tblLayout w:type="fixed"/>
        </w:tblPrEx>
        <w:trPr>
          <w:trHeight w:hRule="auto" w:val="0"/>
        </w:trPr>
        <w:tc>
          <w:tcPr>
            <w:tcW w:w="862" w:type="dxa"/>
            <w:vMerge w:val="restart"/>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Lp.</w:t>
            </w:r>
          </w:p>
        </w:tc>
        <w:tc>
          <w:tcPr>
            <w:tcW w:w="8262" w:type="dxa"/>
            <w:vMerge w:val="restart"/>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Nazwa i cel</w:t>
            </w:r>
          </w:p>
        </w:tc>
        <w:tc>
          <w:tcPr>
            <w:tcW w:w="1912" w:type="dxa"/>
            <w:vMerge w:val="restart"/>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Jednostka odpowiedzialna lub koordynująca</w:t>
            </w:r>
          </w:p>
        </w:tc>
        <w:tc>
          <w:tcPr>
            <w:tcW w:w="1376"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Okres realizacji</w:t>
            </w:r>
          </w:p>
        </w:tc>
        <w:tc>
          <w:tcPr>
            <w:tcW w:w="1738" w:type="dxa"/>
            <w:gridSpan w:val="2"/>
            <w:vMerge w:val="restart"/>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2031</w:t>
            </w:r>
          </w:p>
        </w:tc>
        <w:tc>
          <w:tcPr>
            <w:tcW w:w="1750" w:type="dxa"/>
            <w:gridSpan w:val="2"/>
            <w:vMerge w:val="restart"/>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2032</w:t>
            </w:r>
          </w:p>
        </w:tc>
        <w:tc>
          <w:tcPr>
            <w:tcW w:w="1750" w:type="dxa"/>
            <w:gridSpan w:val="2"/>
            <w:vMerge w:val="restart"/>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2033</w:t>
            </w:r>
          </w:p>
        </w:tc>
        <w:tc>
          <w:tcPr>
            <w:tcW w:w="1750" w:type="dxa"/>
            <w:gridSpan w:val="2"/>
            <w:vMerge w:val="restart"/>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2034</w:t>
            </w:r>
          </w:p>
        </w:tc>
        <w:tc>
          <w:tcPr>
            <w:tcW w:w="1750" w:type="dxa"/>
            <w:gridSpan w:val="2"/>
            <w:vMerge w:val="restart"/>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2035</w:t>
            </w:r>
          </w:p>
        </w:tc>
        <w:tc>
          <w:tcPr>
            <w:tcW w:w="1750" w:type="dxa"/>
            <w:gridSpan w:val="2"/>
            <w:vMerge w:val="restart"/>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Limit zobowiązań</w:t>
            </w:r>
          </w:p>
        </w:tc>
      </w:tr>
      <w:tr>
        <w:tblPrEx>
          <w:tblW w:w="5000" w:type="pct"/>
          <w:tblLayout w:type="fixed"/>
        </w:tblPrEx>
        <w:trPr>
          <w:trHeight w:hRule="auto" w:val="0"/>
        </w:trPr>
        <w:tc>
          <w:tcPr>
            <w:tcW w:w="862" w:type="dxa"/>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8262" w:type="dxa"/>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912" w:type="dxa"/>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od</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do</w:t>
            </w:r>
          </w:p>
        </w:tc>
        <w:tc>
          <w:tcPr>
            <w:tcW w:w="1738"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c>
          <w:tcPr>
            <w:tcW w:w="1750" w:type="dxa"/>
            <w:gridSpan w:val="2"/>
            <w:vMerge/>
            <w:tcBorders>
              <w:top w:val="nil"/>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przedsięwzięcia-ogółem (1.1+1.2+1.3)</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3 271 000,00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3 472 000,00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3 665 000,00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3 897 000,00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37 458 000,00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1.a</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3 271 000,00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3 472 000,00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3 665 000,00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3 897 000,00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30 258 000,00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1.b</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związane z programami realizowanymi z udziałem środków, o których mowa w art.5 ust.1 pkt 2 i 3 ustawy z dnia 27 sierpnia 2009.r. o finansach publicznych (Dz.U. z 2017 r. poz. 2077, z późn.zm.), z tego:</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580 000,00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1.1.1</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580 000,00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1.1.1.1</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Wdrażanie Programu ochrony powietrza w Gminie Gręboszów - Projekt związany z zatrudnieniem ekodoradcy,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2029</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580 000,00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1.1.2</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związane z umowami partnerstwa publiczno-prywatnego, z tego:</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1.2.1</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1.2.2</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Wydatki na programy, projekty lub zadania pozostałe (inne niż wymienione w pkt 1.1 i 1.2), z tego</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3 271 000,00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3 472 000,00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3 665 000,00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3 897 000,00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36 878 000,00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1.3.1</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bieżące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3 090 000,00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3 271 000,00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3 472 000,00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3 665 000,00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3 897 000,00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29 678 000,00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1.3.1.1</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Licencje i programy komputerowe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210 000,00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240 000,00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1 900 000,00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1.3.1.2</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Finansowanie utrzymania mieszkańców gminy w Domach Pomocy Społecznej - Finansowanie pobytu mieszkańców z terenu Gminy Gręboszów w DPS-ach</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Gminny Ośrodek Pomocy Społecznej</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760 000,00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770 000,00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800 000,00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820 000,00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850 000,00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7 200 000,00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1.3.1.3</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Obsługa bankowa budżetu Gminy Gręboszów na podstawie art. 264 uofp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31 000,00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32 000,00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35 000,00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37 000,00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278 000,00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1.3.1.4</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Oświetlenie placów ulic i dróg: dostawa energii do budynków i budowli stanowiących mienie gminne - Realizacja zadań własnych jst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420 000,00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440 000,00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470 000,00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3 550 000,00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1.3.1.5</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Wywóz odpadów komunalnych z terenu Gminy Gręboszów - Wywóż śmieci</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1 200 000,00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1 300 000,00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1 400 000,00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1 600 000,00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12 000 000,00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1.3.1.6</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Zimowe utrzymanie dróg publicznych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Urząd Gminy 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2035</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550 000,00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650 000,00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700 000,00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4 750 000,00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b/>
                <w:sz w:val="16"/>
              </w:rPr>
              <w:t>1.3.2</w:t>
            </w:r>
          </w:p>
        </w:tc>
        <w:tc>
          <w:tcPr>
            <w:tcW w:w="11550" w:type="dxa"/>
            <w:gridSpan w:val="4"/>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b/>
                <w:sz w:val="16"/>
              </w:rPr>
              <w:t>- wydatki majątkowe</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b/>
                <w:sz w:val="16"/>
              </w:rPr>
              <w:t>7 200 000,00</w:t>
            </w:r>
          </w:p>
        </w:tc>
      </w:tr>
      <w:tr>
        <w:tblPrEx>
          <w:tblW w:w="5000" w:type="pct"/>
          <w:tblLayout w:type="fixed"/>
        </w:tblPrEx>
        <w:trPr>
          <w:trHeight w:hRule="auto" w:val="0"/>
        </w:trPr>
        <w:tc>
          <w:tcPr>
            <w:tcW w:w="8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1.3.2.1</w:t>
            </w:r>
          </w:p>
        </w:tc>
        <w:tc>
          <w:tcPr>
            <w:tcW w:w="826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2"/>
                <w:u w:val="none" w:color="000000"/>
                <w:vertAlign w:val="baseline"/>
              </w:rPr>
            </w:pPr>
            <w:r>
              <w:rPr>
                <w:sz w:val="16"/>
              </w:rPr>
              <w:t xml:space="preserve">Przebudowa kanału Hubenickiego na terenie Gminy Gręboszów - </w:t>
            </w:r>
          </w:p>
        </w:tc>
        <w:tc>
          <w:tcPr>
            <w:tcW w:w="1912"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GRĘBOSZÓW</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2026</w:t>
            </w:r>
          </w:p>
        </w:tc>
        <w:tc>
          <w:tcPr>
            <w:tcW w:w="688" w:type="dxa"/>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r>
              <w:rPr>
                <w:sz w:val="16"/>
              </w:rPr>
              <w:t>2030</w:t>
            </w:r>
          </w:p>
        </w:tc>
        <w:tc>
          <w:tcPr>
            <w:tcW w:w="1738"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0,00</w:t>
            </w:r>
          </w:p>
        </w:tc>
        <w:tc>
          <w:tcPr>
            <w:tcW w:w="1750" w:type="dxa"/>
            <w:gridSpan w:val="2"/>
            <w:tcBorders>
              <w:top w:val="single" w:sz="2" w:space="0" w:color="auto"/>
              <w:left w:val="single" w:sz="2" w:space="0" w:color="auto"/>
              <w:bottom w:val="single" w:sz="4" w:space="0" w:color="auto"/>
              <w:right w:val="single" w:sz="2" w:space="0" w:color="auto"/>
            </w:tcBorders>
            <w:noWrap w:val="0"/>
            <w:tcMar>
              <w:top w:w="0" w:type="dxa"/>
              <w:left w:w="108" w:type="dxa"/>
              <w:bottom w:w="0" w:type="dxa"/>
              <w:right w:w="108" w:type="dxa"/>
            </w:tcMar>
            <w:textDirection w:val="lrTb"/>
            <w:vAlign w:val="top"/>
            <w:hideMark/>
          </w:tcPr>
          <w:p w:rsidR="00A77B3E">
            <w:pPr>
              <w:spacing w:before="0" w:after="0"/>
              <w:jc w:val="right"/>
              <w:rPr>
                <w:rFonts w:ascii="Times New Roman" w:eastAsia="Times New Roman" w:hAnsi="Times New Roman" w:cs="Times New Roman"/>
                <w:b w:val="0"/>
                <w:i w:val="0"/>
                <w:caps w:val="0"/>
                <w:strike w:val="0"/>
                <w:color w:val="000000"/>
                <w:sz w:val="22"/>
                <w:u w:val="none" w:color="000000"/>
                <w:vertAlign w:val="baseline"/>
              </w:rPr>
            </w:pPr>
            <w:r>
              <w:rPr>
                <w:sz w:val="16"/>
              </w:rPr>
              <w:t>7 200 000,00</w:t>
            </w:r>
          </w:p>
        </w:tc>
      </w:tr>
    </w:tbl>
    <w:p w:rsidR="00A77B3E">
      <w:pPr>
        <w:keepNext/>
        <w:keepLines/>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br/>
      </w:r>
    </w:p>
    <w:p w:rsidR="00A77B3E">
      <w:pPr>
        <w:keepNext/>
        <w:keepLines/>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10886"/>
        <w:gridCol w:w="10886"/>
      </w:tblGrid>
      <w:tr>
        <w:tblPrEx>
          <w:tblW w:w="5000" w:type="pct"/>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Gminy Gręboszów</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Wiesław Wytrwał</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23811" w:h="16838" w:orient="landscape"/>
          <w:pgMar w:top="992" w:right="1020" w:bottom="992" w:left="1020" w:header="708" w:footer="708" w:gutter="0"/>
          <w:pgNumType w:start="1"/>
          <w:cols w:space="708"/>
          <w:docGrid w:linePitch="360"/>
        </w:sectPr>
      </w:pPr>
    </w:p>
    <w:p>
      <w:pPr>
        <w:keepNext/>
        <w:keepLines w:val="0"/>
        <w:widowControl/>
        <w:suppressLineNumbers w:val="0"/>
        <w:shd w:val="clear" w:color="auto" w:fill="auto"/>
        <w:suppressAutoHyphens w:val="0"/>
        <w:spacing w:before="120" w:beforeAutospacing="0" w:after="120" w:afterAutospacing="0" w:line="360" w:lineRule="auto"/>
        <w:ind w:left="4535" w:right="0" w:firstLine="0"/>
        <w:contextualSpacing w:val="0"/>
        <w:jc w:val="left"/>
        <w:rPr>
          <w:szCs w:val="20"/>
        </w:rPr>
      </w:pPr>
      <w:r>
        <w:rPr>
          <w:szCs w:val="20"/>
        </w:rPr>
        <w:t>Załącznik nr 3 do uchwały nr XXI/146/2025</w:t>
        <w:br/>
        <w:t>Rady Gminy Gręboszów</w:t>
        <w:br/>
        <w:t>z dnia 30 grudnia 2025 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color w:val="000000"/>
          <w:szCs w:val="20"/>
          <w:u w:color="000000"/>
        </w:rPr>
      </w:pPr>
      <w:r>
        <w:rPr>
          <w:b/>
          <w:szCs w:val="20"/>
        </w:rPr>
        <w:t>UZASADNIENIE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jc w:val="center"/>
        <w:rPr>
          <w:color w:val="000000"/>
          <w:szCs w:val="20"/>
          <w:u w:color="000000"/>
        </w:rPr>
      </w:pPr>
      <w:r>
        <w:rPr>
          <w:b/>
          <w:color w:val="000000"/>
          <w:szCs w:val="20"/>
          <w:u w:color="000000"/>
        </w:rPr>
        <w:t>Objaśnienia przyjętych wartości do Wieloletniej Prognozy Finansowej Gminy Gręboszów na lata 2026-2035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Obowiązek sporządzenia Wieloletniej Prognozy Finansowej jest jedną z zasadniczych zmian wprowadzonych ustawą z dnia 27 sierpnia 2009 r.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Wieloletniej Prognozie Finansowej Gminy Gręboszów zastosowano wzory załączników (załącznik nr 1 oraz załącznik nr 2 do uchwały) zgodnie z rozporządzeniem Ministra Finansów z dnia 10 stycznia 2013 r. w sprawie wieloletniej prognozy finansowej jednostki samorządu terytorialnego (Dz. U. 2021 r. poz. 83).</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Podstawą opracowania Wieloletniej Prognozy Finansowej Gminy Gręboszów jest uchwała budżetowa na 2026 rok, wartości planowane na koniec III kwartału 2025 roku, dane sprawozdawcze z wykonania budżetu Gminy Gręboszów za lata 2024 i 2023 oraz wytyczne Ministra Finansów dotyczące stosowania jednolitych wskaźników makroekonomicznych, będących podstawą oszacowania skutków finansowych projektowanych ustaw (aktualizacja – 21 lipca 2025 r.). W kolumnie pomocniczej dotyczącej przewidywanego wykonania w 2025 roku wprowadzono wartości, zgodnie z aktualnym planem budżetu Gminy Gręboszów na dzień przyjęcia uchwały, z uwzględnieniem korekt w zakresie rzeczywistego wykonania budżetu w 2025 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Art. 227 ust. 1 ustawy z dnia 27 sierpnia 2009 r. o finansach publicznych (Dz. U. z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Na dzień podjęcia uchwały, spłatę zobowiązań przewiduje się do roku 2035. Kwoty wydatków wynikające z limitów wydatków na przedsięwzięcia nie wykraczają poza okres prognozy kwoty długu. W związku z powyższym, Wieloletnia Prognoza Finansowa Gminy Gręboszów została przygotowana na lata 2026-2035.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1. Dochody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Prognozy dochodów Gminy Gręboszów dokonano w podziałach merytorycznych, a następnie sklasyfikowano w podziały wymagane ustawowo. Podział merytoryczny został sporządzony za pomocą paragrafów klasyfikacji budżetowej i objął dochody bieżące i majątkowe.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Dochody bieżące prognozowano w podziale na: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 dochody z tytułu udziału we wpływach z podatku dochodowego od osób fizycznych;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 dochody z tytułu udziału we wpływach z podatku dochodowego od osób prawnych;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3) subwencję ogólną;</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4) dotacje i środki przeznaczone na cele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5) pozostałe dochody (m. in.: podatki i opłaty lokalne, grzywny i kary pieniężne, wpływy z usług, odsetki od środków na rachunkach bankowych), w tym: z podatku od nieruchomości.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Dochody majątkowe prognozowano w podziale na: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 dochody ze sprzedaży majątku;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 dotacje i środki przeznaczone na inwestycje.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br w:type="page"/>
      </w:r>
      <w:r>
        <w:rPr>
          <w:b/>
          <w:color w:val="000000"/>
          <w:szCs w:val="20"/>
          <w:u w:color="000000"/>
        </w:rPr>
        <w:t>1.1. Dochody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Uwzględniając dotychczasowe kształtowanie się dochodów budżetu Gminy Gręboszów oraz przewidywania na następne lata, w poszczególnych kategoriach dochodów bieżących posłużono się metodą indeksacji wartości bazowych.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Podatek od nieruchomości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Stosownie do przepisów ustawy o podatkach i opłatach lokalnych, wysokość stawek podatku od nieruchomości nie może przekroczyć górnych granic stawek kwotowych ogłoszonych przez Ministra Finansów. W roku budżetowym wpływy z tytułu podatku od nieruchomości zaplanowano w oparciu o planowane na 2026 r. stawki podatku od nieruchomości oraz zasób nieruchomości Gminy Gręboszów, który stanowi przedmiot opodatkowania. Wysokość wpływów z podatku od nieruchomości na 2026 r. ustalono więc na poziomie 2 750 000,00 zł, co stanowi 113,17% dochodów z tego tytułu planowanych do uzyskania na koniec 2025 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Udział w podatkach centralnych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Jako że ta grupa dochodów pozostaje w bardzo silnym związku z sytuacją makroekonomiczną kraju, przy szacowaniu dochodów z tytułu udziałów w podatku dochodowym od osób fizycznych (PIT) oraz od osób prawnych (CIT) w okresie prognozy wzięto pod uwagę prognozowane wskaźniki makroekonomiczne.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Subwencje i dotacje na zadania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Planowaną kwotę subwencji ogólnej oraz dotacji celowych z budżetu państwa (innych niż środki na dofinansowanie realizacji projektów europejskich) na 2026 rok przyjęto w oparciu o informacje przekazane przez Ministra Finansów. W kolejnych latach prognozy założono wzrost kwoty otrzymywanych dotychczas cyklicznych subwencji i dotacji celowych z budżetu państwa w oparciu o prognozowane wskaźniki makroekonomiczne.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1.2. Dochody majątkowe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Waloryzacji o wskaźniki makroekonomiczne nie poddano dochodów o charakterze majątkowym. Dochody majątkowe, w tym przede wszystkim dochody ze sprzedaży majątku pozbawione są regularności, a ich poziom uzależniony jest od czynników niezależnych, jak np. koniunktura na rynku nieruchomości.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2026 r. dochody ze sprzedaży majątku zaplanowano na poziomie 341 594,39 zł. Bazując na informacjach o wykonaniu dochodów majątkowych w poprzednich latach, należy stwierdzić, że zaplanowana kwota jest realna, ryzyko ich niewykonania jest minimalne, a sama sprzedaż mienia została zaplanowana przy dochowaniu najwyższej staranności. Wartość zaplanowanych w 2026 r. dochodów ze sprzedaży ma zapewnić sprzedaż nieruchomości, których wykaz zaprezentowano w poniższej tabeli.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Wykaz nieruchomości planowanych do sprzedaży w 2026 roku</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205"/>
        <w:gridCol w:w="2088"/>
        <w:gridCol w:w="2244"/>
        <w:gridCol w:w="2545"/>
      </w:tblGrid>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Cs w:val="20"/>
              </w:rPr>
              <w:t>Położenie nieruchomości</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Cs w:val="20"/>
              </w:rPr>
              <w:t xml:space="preserve">Nr działki </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Cs w:val="20"/>
              </w:rPr>
              <w:t>Wartość netto</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Cs w:val="20"/>
              </w:rPr>
              <w:t>Planowany dochód</w:t>
            </w: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Wola Żelichowska</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 xml:space="preserve">461/2 </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20 000,00 zł</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20 000,00 zł</w:t>
            </w: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Wola Gręboszowska</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 xml:space="preserve">142/3 </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6 000,00 zł</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6 000,00 zł</w:t>
            </w: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Wola Żelichowska (szkoła) wraz z działkami przyległymi</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316/7, 316/2 i 316/6</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705 130,00 zł</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315 594,39 zł</w:t>
            </w: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Gręboszów (GOPS)</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612/1</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551 760,00</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Hubenice (szkoła)</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222</w:t>
            </w: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szCs w:val="20"/>
              </w:rPr>
              <w:t>475 970,00</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p>
        </w:tc>
      </w:tr>
      <w:tr>
        <w:tblPrEx>
          <w:tblW w:w="5000" w:type="pct"/>
          <w:tblLayout w:type="fixed"/>
        </w:tblPrEx>
        <w:tc>
          <w:tcPr>
            <w:tcW w:w="320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Cs w:val="20"/>
              </w:rPr>
              <w:t>Razem</w:t>
            </w:r>
          </w:p>
        </w:tc>
        <w:tc>
          <w:tcPr>
            <w:tcW w:w="208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p>
        </w:tc>
        <w:tc>
          <w:tcPr>
            <w:tcW w:w="22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Cs w:val="20"/>
              </w:rPr>
              <w:t>1 758 860,00</w:t>
            </w:r>
          </w:p>
        </w:tc>
        <w:tc>
          <w:tcPr>
            <w:tcW w:w="2544"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u w:color="000000"/>
              </w:rPr>
            </w:pPr>
            <w:r>
              <w:rPr>
                <w:b/>
                <w:szCs w:val="20"/>
              </w:rPr>
              <w:t>341 594,39</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2026 r. zaplanowano dotacje oraz środki przeznaczone na inwestycje w wysokości 7 608 405,61 zł, które wiążą się z uzyskaniem bezzwrotnego dofinansowania na realizację zadań przedstawionych m.in. w załączniku nr 2 do Wieloletniej Prognozy Finansowej.</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Dotacje oraz środki na inwestycje zaplanowano również w latach 2027, 2028, 2029, 2030 i 2031, w łącznej kwocie 4 698 720,00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2. Wydatki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Prognozy wydatków Gminy Gręboszów dokonano w podziale na kategorie wydatków bieżących i wydatków majątkowych.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2.1. Wydatki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Poziom prognozowanych wydatków bieżących zdeterminowany jest zakresem realizowanych zadań oraz możliwościami finansowymi. Priorytetem w zakresie planowania wydatków było zapewnienie odpowiednich środków na utrzymanie dotychczasowego zakresu i poziomu usług świadczonych na rzecz mieszkańców. Wydatki bieżące prognozowano w podziale na: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 wynagrodzenia i składki od nich naliczane;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 wydatki związane z obsługą zadłużenia, w tym odsetki i dyskonto;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3) pozostałe wydatki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Wynagrodzenia i pochodne od wynagrodzeń</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Zgodnie z założeniami przyjętymi przy prognozie dochodów, dla wydatków bieżących w roku 2026 przyjęto wartości wynikające z uchwały budżetowej. W 2026 r. w budżecie Gminy Gręboszów wydatki na wynagrodzenia pochodne od wynagrodzeń zabezpieczono w wysokości 10 947 236,00 zł, co stanowi zmianę w stosunku do przewidywanego wykonania na koniec 2025 r. o kwotę 958 015,35 zł. W latach 2027-2035 dokonano indeksacji wydatków na wynagrodzenia i pochodne od wynagrodzeń w oparciu o dobrane wskaźniki.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Poręczenia i gwarancje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okresie prognozy Gmina Gręboszów nie planuje wydatków z tytułu poręczeń i gwarancji.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Odsetki i dyskonto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Wydatki na obsługę długu skalkulowano w oparciu o obowiązujące stawki WIBOR jak również warunki wynikające z zawartych umów (w przypadku zobowiązań historycznych). Zgodnie z aktualną projekcją Narodowego Banku Polskiego, inflacja CPI będzie systematycznie spadać, powracając trwale do przedziału odchyleń od celu inflacyjnego (1,5%-3,5%) w pierwszym kwartale 2026 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Prognoza na lata po 2026 r. jest oparta na scenariuszu stabilnego rozwoju makroekonomicznego Polski. Jako, że stawka WIBOR jest ściśle skorelowana ze stopami procentowymi NBP oraz ogólną sytuacją na rynku międzybankowym, przyjęto, że od 2027 r.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Pozostałe wydatki bieżące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prognozie WPF pozostałe wydatki bieżące zostały skalkulowane w oparciu o indeksację, o wskaźnik inflacji.</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2.2. Wydatki majątkowe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Wydatki majątkowe obejmują przede wszystkim przedsięwzięcia inwestycyjne, które ujęto w załączniku nr 2 do Wieloletniej Prognozy Finansowej Gminy Gręboszów na lata 2026-2035.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3. Wynik budżetu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Wynik budżetu w prognozowanym okresie jest ściśle powiązany z przyjętymi założeniami do prognozy dochodów i wydatków.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budżecie na 2026 r. zaplanowano dodatnią różnicę pomiędzy dochodami i wydatkami budżetowymi. Wynik budżetu planuje się na poziomie 500 000,00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Fakt prognozowania w oparciu o dane makroekonomiczne o niewielkiej zmienności powoduje zrównoważony i stabilny wzrost dochodów oraz wydatków bieżących, któremu można przypisać cechy statystyczne.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br w:type="page"/>
      </w:r>
      <w:r>
        <w:rPr>
          <w:b/>
          <w:color w:val="000000"/>
          <w:szCs w:val="20"/>
          <w:u w:color="000000"/>
        </w:rPr>
        <w:t>Wynik budżetu Gminy Gręboszów</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520"/>
        <w:gridCol w:w="2520"/>
        <w:gridCol w:w="2521"/>
        <w:gridCol w:w="2521"/>
      </w:tblGrid>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Dochody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Wydatki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Wynik budżetu [zł]</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2026</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28 000 000,00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27 500 000,00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24 871 055,00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24 271 055,00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23 494 645,00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22 594 645,00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900 000,00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24 135 695,00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23 135 695,00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24 774 087,00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23 774 087,00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25 525 909,00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24 525 909,00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2032</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25 295 915,00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24 295 915,00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2033</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25 801 833,00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24 801 833,00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2034</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26 317 869,00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25 317 869,00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2035</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26 844 227,00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25 844 227,00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4. Przychody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okresie objętym prognozą nie planuje się przychodów budżetowych.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5. Rozchody</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roku budżetowym oraz w okresie prognozy planuje się rozchody budżetowe. Rozchody Gminy Gręboszów obejmują spłaty rat kapitałowych kredytów i pożyczek oraz wykup papierów wartościowych.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zakresie zawartych umów, rozchody Gminy Gręboszów zaplanowano zgodnie z harmonogramami. W tabeli poniżej spłatę ww. zobowiązań przedstawiono w kolumnie „Zobowiązanie historyczne”.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Spłatę zobowiązania planowanego do zaciągnięcia ujęto w latach 2026-2035. W tabeli poniżej spłatę ww. zobowiązań przedstawiono w kolumnie „Zobowiązanie planowane”.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Spłata zaciągniętych i planowanych zobowiązań Gminy Gręboszów</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520"/>
        <w:gridCol w:w="2520"/>
        <w:gridCol w:w="2521"/>
        <w:gridCol w:w="2521"/>
      </w:tblGrid>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Zobowiązanie historyczne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Zobowiązanie planowane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Zobowiązania razem [zł]</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2026</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900 000,00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2032</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2033</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2034</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2035</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1 000 000,00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6. Kwota długu</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Na dzień 31 grudnia 2025 r. kwota zadłużenia, wykazana w pozycji 6. Wieloletniej Prognozy Finansowej Gminy Gręboszów na lata 2026-2035, w kolumnie pomocniczej WPF „2025 przewidywane wykonanie” wynosi 9 000 000,00 zł. Na koniec 2026 r. kwotę długu planuje się na poziomie 8 500 000,00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stosunku do dochodów ogółem pomniejszonych o dotacje i środki o podobnym charakterze oraz powiększonych o przychody z tytułów określonych w art. 217 ust. 2 pkt 4-8 ustawy o finansach publicznych, nieprzeznaczone na sfinansowanie deficytu budżetowego, planowana kwota długu na koniec 2026 r. wyniesie 45,05%.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br w:type="page"/>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Informacja o wysokości kwoty długu w latach 2026-2029</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520"/>
        <w:gridCol w:w="2520"/>
        <w:gridCol w:w="2521"/>
        <w:gridCol w:w="2521"/>
      </w:tblGrid>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Planowana kwota długu na koniec roku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Podstawa wskaźnika* [zł]</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Relacja</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2026</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8 500 000,00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18 867 397,39</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45,05%</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7 900 000,00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21 103 205,00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37,44%</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21 094 295,00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33,18%</w:t>
            </w:r>
          </w:p>
        </w:tc>
      </w:tr>
      <w:tr>
        <w:tblPrEx>
          <w:tblW w:w="5000" w:type="pct"/>
          <w:tblLayout w:type="fixed"/>
        </w:tblPrEx>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6 000 000,00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21 617 459,00</w:t>
            </w:r>
          </w:p>
        </w:tc>
        <w:tc>
          <w:tcPr>
            <w:tcW w:w="25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27,76%</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*dochody pomniejszone o dotacje i środki o podobnym charakterze oraz powiększone o przychody z tytułów określonych w art. 217 ust. 2 pkt 4-8 ustawy o finansach publicznych, nieprzeznaczone na sfinansowanie deficytu budżetowego</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7. Relacja z art. 242 ustawy o finansach publicznych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 budżecie na 2026 r. zaplanowano dodatnią różnicę pomiędzy dochodami i wydatkami bieżącymi. W związku z powyższym, Gmina Gręboszów zachowuje relację określoną w art. 242 ust. 1 ustawy o finansach publicznych.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Wynik budżetu bieżącego Gminy Gręboszów</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017"/>
        <w:gridCol w:w="2017"/>
        <w:gridCol w:w="2016"/>
        <w:gridCol w:w="2016"/>
        <w:gridCol w:w="2016"/>
      </w:tblGrid>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Dochody bieżące [zł]</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Wydatki bieżące [zł]</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Wynik budżetu bieżącego [zł]</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Wynik budżetu bieżącego, skorygowany o środki [zł]</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2026</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20 050 000,00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19 012 706,94</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1 037 293,06</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1 037 293,06</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22 871 055,00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19 428 425,00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3 442 630,00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3 442 630,00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22 894 645,00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19 984 883,00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2 909 762,00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2 909 762,00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23 485 695,00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20 445 222,00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3 040 473,00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3 040 473,00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24 124 087,00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20 932 627,00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3 191 460,00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3 191 460,00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24 727 189,00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21 430 693,00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3 296 496,00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3 296 496,00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2032</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25 295 915,00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21 994 196,00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3 301 719,00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3 301 719,00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2033</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25 801 833,00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22 568 059,00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3 233 774,00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3 233 774,00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2034</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26 317 869,00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23 149 868,00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3 168 001,00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3 168 001,00</w:t>
            </w:r>
          </w:p>
        </w:tc>
      </w:tr>
      <w:tr>
        <w:tblPrEx>
          <w:tblW w:w="5000" w:type="pct"/>
          <w:tblLayout w:type="fixed"/>
        </w:tblPrEx>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2035</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26 844 227,00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23 739 456,00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3 104 771,00</w:t>
            </w:r>
          </w:p>
        </w:tc>
        <w:tc>
          <w:tcPr>
            <w:tcW w:w="2016"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3 104 771,00</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8. Relacja z art. 243 ustawy o finansach publicznych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Informację na temat kształtowania się relacji z art. 243 ustawy o finansach publicznych w okresie prognozy Gminy Gręboszów przedstawiono w tabeli poniżej. Kalkulację wskaźnika z art. 243 przeprowadzono w oparciu o zapisy ustawy z dnia 8 listopada 2024 r. o zmianie ustawy o finansach publicznych oraz niektórych innych ustaw (Dz. U. z 2024 r. poz. 1756).</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Kształtowanie się relacji z art. 243 ust. 1 ustawy o finansach publicznych</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621"/>
        <w:gridCol w:w="1681"/>
        <w:gridCol w:w="1680"/>
        <w:gridCol w:w="1680"/>
        <w:gridCol w:w="1728"/>
        <w:gridCol w:w="1692"/>
      </w:tblGrid>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Rok</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Obsługa zadłużenia (fakt. i plan. po wyłączeniach)</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Maksymalna obsługa zadłużenia (wg planu po III kwartale)</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Zachowanie relacji z art. 243 (w oparciu o plan po III kwartale)</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Maksymalna obsługa zadłużenia (wg przewidywanego wykonania)</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b/>
                <w:sz w:val="20"/>
                <w:szCs w:val="20"/>
              </w:rPr>
              <w:t>Zachowanie relacji z art. 243 (w oparciu o przewidywane wykonanie)</w:t>
            </w:r>
          </w:p>
        </w:tc>
      </w:tr>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2026</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4,53%</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6,80%</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4,54%</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2027</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4,41%</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7,22%</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4,96%</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2028</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5,78%</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8,57%</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6,31%</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2029</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5,90%</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9,84%</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7,58%</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2030</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5,54%</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10,22%</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7,96%</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2031</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5,21%</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11,76%</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9,50%</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2032</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4,90%</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14,71%</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12,45%</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2033</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4,61%</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14,69%</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14,69%</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2034</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4,33%</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15,43%</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15,43%</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r>
        <w:tblPrEx>
          <w:tblW w:w="5000" w:type="pct"/>
          <w:tblLayout w:type="fixed"/>
        </w:tblPrEx>
        <w:tc>
          <w:tcPr>
            <w:tcW w:w="162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2035</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4,10%</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14,77%</w:t>
            </w:r>
          </w:p>
        </w:tc>
        <w:tc>
          <w:tcPr>
            <w:tcW w:w="1680"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c>
          <w:tcPr>
            <w:tcW w:w="1728"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right"/>
              <w:rPr>
                <w:color w:val="000000"/>
                <w:szCs w:val="20"/>
                <w:u w:color="000000"/>
              </w:rPr>
            </w:pPr>
            <w:r>
              <w:rPr>
                <w:sz w:val="20"/>
                <w:szCs w:val="20"/>
              </w:rPr>
              <w:t>14,77%</w:t>
            </w:r>
          </w:p>
        </w:tc>
        <w:tc>
          <w:tcPr>
            <w:tcW w:w="1692" w:type="dxa"/>
            <w:tcBorders>
              <w:top w:val="single" w:sz="4" w:space="0" w:color="auto"/>
              <w:left w:val="single" w:sz="4" w:space="0" w:color="auto"/>
              <w:bottom w:val="single" w:sz="4" w:space="0" w:color="auto"/>
              <w:right w:val="single" w:sz="4" w:space="0" w:color="auto"/>
            </w:tcBorders>
            <w:noWrap w:val="0"/>
            <w:textDirection w:val="lrTb"/>
            <w:vAlign w:val="center"/>
          </w:tcPr>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center"/>
              <w:rPr>
                <w:color w:val="000000"/>
                <w:szCs w:val="20"/>
                <w:u w:color="000000"/>
              </w:rPr>
            </w:pPr>
            <w:r>
              <w:rPr>
                <w:sz w:val="20"/>
                <w:szCs w:val="20"/>
              </w:rPr>
              <w:t>TAK</w:t>
            </w:r>
          </w:p>
        </w:tc>
      </w:tr>
    </w:tbl>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Źródło: Opracowanie własne.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Dane w tabeli powyżej wskazują, że w całym okresie prognozy Gmina Gręboszów spełnia relację, o której mowa w art. 243 ust. 1 ustawy o finansach publicznych. Spełnienie dotyczy zarówno relacji obliczonej na podstawie planu na dzień 30 września 2025 r. jak i w oparciu o kolumnę „2025 przewidywane wykonanie”.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9. Przedsięwzięcia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Gmina Gręboszów planuje realizację zadań wieloletnich w latach 2026-2035. W ramach uchwały WPF, w stosunku do ostatniej zmiany WPF nr XIX/143/2025 Rady Gminy Gręboszów z dnia 19 grudnia 2025 r., wprowadzono niżej opisane modyfikacje.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Dokonano następujących zmian w istniejących przedsięwzięciach: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 W zakresie programów, projektów lub zadań związanych z programami realizowanymi z udziałem środków z UE: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 wdrażanie Programu ochrony powietrza w Gminie Gręboszów - projekt związany z zatrudnieniem ekodoradcy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 zmniejszenie limitu wydatków na realizację zadania w roku budżetowym o kwotę 240 000,00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b) zwiększenie limitu wydatków na realizację zadania w latach 2027-2029 o kwotę 240 000,00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 W zakresie programów, projektów lub zadań innych (finansowanych ze środków krajowych):</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 licencje i programy komputerowe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 zwiększenie łącznych nakładów ogółem oraz limitu zobowiązań na realizację zadania o kwotę 970 000,00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b) zwiększenie limitu wydatków na realizację zadania w roku budżetowym o kwotę 40 000,00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c) zwiększenie limitu wydatków na realizację zadania w latach 2027-2035 o kwotę 1 050 000,00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 wydłużenie horyzontu czasowego przedsięwzięcia do roku 2035;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 Finansowanie utrzymania mieszkańców gminy w Domach Pomocy Społecznej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 zwiększenie łącznych nakładów ogółem oraz limitu zobowiązań na realizację zadania o kwotę 2 063 000,00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b) zmniejszenie limitu wydatków na realizację zadania w roku budżetowym o kwotę 200 000,00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c) zwiększenie limitu wydatków na realizację zadania w latach 2027-2035 o kwotę 3 000 000,00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 wydłużenie horyzontu czasowego przedsięwzięcia do roku 2035;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3) obsługa bankowa budżetu Gminy Gręboszów na podstawie art. 264 uofp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 zwiększenie łącznych nakładów ogółem oraz limitu zobowiązań na realizację zadania o kwotę 119 000,00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b) zwiększenie limitu wydatków na realizację zadania w roku budżetowym o kwotę 1 000,00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c) zwiększenie limitu wydatków na realizację zadania w latach 2027-2035 o kwotę 136 000,00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 wydłużenie horyzontu czasowego przedsięwzięcia do roku 2035;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4) oświetlenie placów ulic i dróg: dostawa energii do budynków i budowli stanowiących mienie gminne - realizacja zadań własnych jst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 zwiększenie łącznych nakładów ogółem oraz limitu zobowiązań na realizację zadania o kwotę 870 000,00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b) zmniejszenie limitu wydatków na realizację zadania w roku budżetowym o kwotę 150 000,00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c) zwiększenie limitu wydatków na realizację zadania w latach 2027-2035 o kwotę 1 320 000,00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 wydłużenie horyzontu czasowego przedsięwzięcia do roku 2035;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5) wywóz odpadów komunalnych z terenu Gminy Gręboszów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 zwiększenie łącznych nakładów ogółem oraz limitu zobowiązań na realizację zadania o kwotę 5 950 000,00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b) zwiększenie limitu wydatków na realizację zadania w roku budżetowym o kwotę 70 000,00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c) zwiększenie limitu wydatków na realizację zadania w latach 2027-2035 o kwotę 6 680 000,00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 wydłużenie horyzontu czasowego przedsięwzięcia do roku 2035;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6) zimowe utrzymanie dróg publicznych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 zwiększenie łącznych nakładów ogółem oraz limitu zobowiązań na realizację zadania o kwotę 1 580 000,00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b) zmniejszenie limitu wydatków na realizację zadania w roku budżetowym o kwotę 160 000,00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c) zwiększenie limitu wydatków na realizację zadania w latach 2027-2035 o kwotę 2 140 000,00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d) wydłużenie horyzontu czasowego przedsięwzięcia do roku 2035;</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7) przebudowa kanału Hubenickiego na terenie Gminy Gręboszów – zmiana w przedsięwzięciu obejmuje m.in.:</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a) zmniejszenie limitu wydatków na realizację zadania w roku budżetowym o kwotę 500 000,00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b) zwiększenie limitu wydatków na realizację zadania w latach 2027-2030 o kwotę 1 700 000,00 zł;</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c) wydłużenie horyzontu czasowego przedsięwzięcia do roku 2030.</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Z załącznika przedsięwzięć usunięto następujące zadania:</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 rozbudowa, przebudowa i doposażenie Punktu Selektywnej Zbiórki Odpadów Komunalnych w Gręboszowie;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2) realizacja zadania „Cyberbezpieczny samorząd”;</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3) rozbudowa, przebudowa i doposażenie Punktu Selektywnej Zbiórki Odpadów Komunalnych w Gręboszowie;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4) zagospodarowanie centrum miejscowości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5) działania inwestycyjne w zakresie budowy infrastruktury Klastra Energii Energetyczne Powiśle - Odnawialne Źródła Energii (zadanie w budżecie roku 2026 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6) budowa budynku szatni sportowej z zapleczem sanitarnym przy boisku w miejscowości Ujście Jezuickie;</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7) budowa publicznego przedszkola ze żłobkiem wraz z instalacjami infrastruktury technicznej w miejscowości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8) zagospodarowanie terenu przy publicznym przedszkolu ze żłobkiem w miejscowości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9) zakup średniego samochodu ratowniczo-gaśniczego w ramach projektu „Bezpieczna Małopolska - Bon na ratowanie - Straż pożarna” (zadanie realizowane w 2026 r.);</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10) rozbudowa DW 973 na terenie gminy Gręboszów.</w:t>
      </w:r>
    </w:p>
    <w:p>
      <w:pPr>
        <w:keepNext w:val="0"/>
        <w:keepLines w:val="0"/>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b/>
          <w:color w:val="000000"/>
          <w:szCs w:val="20"/>
          <w:u w:color="000000"/>
        </w:rPr>
        <w:t>Informacje dodatkowe</w:t>
      </w:r>
    </w:p>
    <w:p>
      <w:pPr>
        <w:keepNext/>
        <w:keepLines/>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r>
        <w:rPr>
          <w:color w:val="000000"/>
          <w:szCs w:val="20"/>
          <w:u w:color="000000"/>
        </w:rPr>
        <w:t>Wartości wykazane w pozostałych pozycjach WPF, w tym informacje uzupełniające o wybranych kategoriach finansowych (kolumna od 10.1 do 10.11) stanowią informacje uzupełniające względem pozycji opisanych powyżej. Zostały przedstawione w WPF zgodnie z obowiązującym stanem faktycznym, na podstawie zawartych umów i porozumień.</w:t>
      </w:r>
    </w:p>
    <w:p>
      <w:pPr>
        <w:keepNext/>
        <w:keepLines/>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p>
    <w:tbl>
      <w:tblPr>
        <w:tblStyle w:val="TableSimple1"/>
        <w:tblW w:w="5000" w:type="pct"/>
        <w:tblInd w:w="283" w:type="dxa"/>
        <w:tblBorders>
          <w:top w:val="nil"/>
          <w:left w:val="nil"/>
          <w:bottom w:val="nil"/>
          <w:right w:val="nil"/>
        </w:tblBorders>
        <w:tblLook w:val="04A0"/>
      </w:tblPr>
      <w:tblGrid>
        <w:gridCol w:w="4792"/>
        <w:gridCol w:w="4792"/>
      </w:tblGrid>
      <w:tr>
        <w:tblPrEx>
          <w:tblW w:w="5000" w:type="pct"/>
          <w:tblInd w:w="283" w:type="dxa"/>
          <w:tblLook w:val="04A0"/>
        </w:tblPrEx>
        <w:tc>
          <w:tcPr>
            <w:tcW w:w="2500" w:type="pct"/>
            <w:tcBorders>
              <w:right w:val="nil"/>
            </w:tcBorders>
            <w:vAlign w:val="top"/>
          </w:tcPr>
          <w:p>
            <w:pPr>
              <w:keepNext/>
              <w:keepLines/>
              <w:widowControl/>
              <w:suppressLineNumbers w:val="0"/>
              <w:shd w:val="clear" w:color="auto" w:fill="auto"/>
              <w:suppressAutoHyphens w:val="0"/>
              <w:spacing w:before="120" w:beforeAutospacing="0" w:after="120" w:afterAutospacing="0" w:line="240" w:lineRule="auto"/>
              <w:ind w:left="0" w:right="0" w:firstLine="0"/>
              <w:contextualSpacing w:val="0"/>
              <w:rPr>
                <w:color w:val="000000"/>
                <w:szCs w:val="20"/>
                <w:u w:color="000000"/>
              </w:rPr>
            </w:pPr>
          </w:p>
        </w:tc>
        <w:tc>
          <w:tcPr>
            <w:tcW w:w="2500" w:type="pct"/>
            <w:tcBorders>
              <w:left w:val="nil"/>
            </w:tcBorders>
            <w:vAlign w:val="top"/>
          </w:tcPr>
          <w:p>
            <w:pPr>
              <w:keepNext/>
              <w:keepLines/>
              <w:widowControl/>
              <w:suppressLineNumbers w:val="0"/>
              <w:shd w:val="clear" w:color="auto" w:fill="auto"/>
              <w:suppressAutoHyphens w:val="0"/>
              <w:spacing w:before="120" w:beforeAutospacing="0" w:after="120" w:afterAutospacing="0" w:line="240" w:lineRule="auto"/>
              <w:ind w:left="0" w:right="0" w:firstLine="0"/>
              <w:contextualSpacing w:val="0"/>
              <w:jc w:val="center"/>
              <w:rPr>
                <w:color w:val="000000"/>
                <w:szCs w:val="20"/>
                <w:u w:color="000000"/>
              </w:rPr>
            </w:pPr>
            <w:r>
              <w:rPr>
                <w:color w:val="000000"/>
                <w:szCs w:val="20"/>
                <w:u w:color="000000"/>
              </w:rPr>
              <w:fldChar w:fldCharType="begin"/>
            </w:r>
            <w:r>
              <w:rPr>
                <w:color w:val="000000"/>
                <w:szCs w:val="20"/>
                <w:u w:color="000000"/>
              </w:rPr>
              <w:instrText>SIGNATURE_0_1_FUNCTION</w:instrText>
            </w:r>
            <w:r>
              <w:rPr>
                <w:color w:val="000000"/>
                <w:szCs w:val="20"/>
                <w:u w:color="000000"/>
              </w:rPr>
              <w:fldChar w:fldCharType="separate"/>
            </w:r>
            <w:r>
              <w:rPr>
                <w:color w:val="000000"/>
                <w:szCs w:val="20"/>
                <w:u w:color="000000"/>
              </w:rPr>
              <w:t>Przewodniczący Rady Gminy Gręboszów</w:t>
            </w:r>
            <w:r>
              <w:rPr>
                <w:color w:val="000000"/>
                <w:szCs w:val="20"/>
                <w:u w:color="000000"/>
              </w:rPr>
              <w:fldChar w:fldCharType="end"/>
            </w:r>
          </w:p>
          <w:p>
            <w:pPr>
              <w:keepNext/>
              <w:keepLines/>
              <w:widowControl/>
              <w:suppressLineNumbers w:val="0"/>
              <w:shd w:val="clear" w:color="auto" w:fill="auto"/>
              <w:suppressAutoHyphens w:val="0"/>
              <w:spacing w:before="120" w:beforeAutospacing="0" w:after="120" w:afterAutospacing="0" w:line="240" w:lineRule="auto"/>
              <w:ind w:left="0" w:right="0" w:firstLine="0"/>
              <w:contextualSpacing w:val="0"/>
              <w:jc w:val="center"/>
              <w:rPr>
                <w:color w:val="000000"/>
                <w:szCs w:val="20"/>
                <w:u w:color="000000"/>
              </w:rPr>
            </w:pPr>
            <w:r>
              <w:rPr>
                <w:color w:val="000000"/>
                <w:szCs w:val="20"/>
                <w:u w:color="000000"/>
              </w:rPr>
              <w:t xml:space="preserve"> </w:t>
            </w:r>
          </w:p>
          <w:p>
            <w:pPr>
              <w:keepNext/>
              <w:keepLines/>
              <w:widowControl/>
              <w:suppressLineNumbers w:val="0"/>
              <w:shd w:val="clear" w:color="auto" w:fill="auto"/>
              <w:suppressAutoHyphens w:val="0"/>
              <w:spacing w:before="120" w:beforeAutospacing="0" w:after="120" w:afterAutospacing="0" w:line="240" w:lineRule="auto"/>
              <w:ind w:left="0" w:right="0" w:firstLine="0"/>
              <w:contextualSpacing w:val="0"/>
              <w:jc w:val="center"/>
              <w:rPr>
                <w:color w:val="000000"/>
                <w:szCs w:val="20"/>
                <w:u w:color="000000"/>
              </w:rPr>
            </w:pPr>
            <w:r>
              <w:rPr>
                <w:color w:val="000000"/>
                <w:szCs w:val="20"/>
                <w:u w:color="000000"/>
              </w:rPr>
              <w:fldChar w:fldCharType="begin"/>
            </w:r>
            <w:r>
              <w:rPr>
                <w:color w:val="000000"/>
                <w:szCs w:val="20"/>
                <w:u w:color="000000"/>
              </w:rPr>
              <w:instrText>SIGNATURE_0_1_FIRSTNAME</w:instrText>
            </w:r>
            <w:r>
              <w:rPr>
                <w:color w:val="000000"/>
                <w:szCs w:val="20"/>
                <w:u w:color="000000"/>
              </w:rPr>
              <w:fldChar w:fldCharType="separate"/>
            </w:r>
            <w:r>
              <w:rPr>
                <w:b/>
                <w:color w:val="000000"/>
                <w:szCs w:val="20"/>
                <w:u w:color="000000"/>
              </w:rPr>
              <w:t xml:space="preserve">Wiesław </w:t>
            </w:r>
            <w:r>
              <w:rPr>
                <w:color w:val="000000"/>
                <w:szCs w:val="20"/>
                <w:u w:color="000000"/>
              </w:rPr>
              <w:fldChar w:fldCharType="end"/>
            </w:r>
            <w:r>
              <w:rPr>
                <w:color w:val="000000"/>
                <w:szCs w:val="20"/>
                <w:u w:color="000000"/>
              </w:rPr>
              <w:fldChar w:fldCharType="begin"/>
            </w:r>
            <w:r>
              <w:rPr>
                <w:color w:val="000000"/>
                <w:szCs w:val="20"/>
                <w:u w:color="000000"/>
              </w:rPr>
              <w:instrText>SIGNATURE_0_1_LASTNAME</w:instrText>
            </w:r>
            <w:r>
              <w:rPr>
                <w:color w:val="000000"/>
                <w:szCs w:val="20"/>
                <w:u w:color="000000"/>
              </w:rPr>
              <w:fldChar w:fldCharType="separate"/>
            </w:r>
            <w:r>
              <w:rPr>
                <w:b/>
                <w:color w:val="000000"/>
                <w:szCs w:val="20"/>
                <w:u w:color="000000"/>
              </w:rPr>
              <w:t>Wytrwał</w:t>
            </w:r>
            <w:r>
              <w:rPr>
                <w:color w:val="000000"/>
                <w:szCs w:val="20"/>
                <w:u w:color="000000"/>
              </w:rPr>
              <w:fldChar w:fldCharType="end"/>
            </w:r>
          </w:p>
        </w:tc>
      </w:tr>
    </w:tbl>
    <w:p>
      <w:pPr>
        <w:keepNext/>
        <w:keepLines/>
        <w:widowControl/>
        <w:suppressLineNumbers w:val="0"/>
        <w:shd w:val="clear" w:color="auto" w:fill="auto"/>
        <w:suppressAutoHyphens w:val="0"/>
        <w:spacing w:before="120" w:beforeAutospacing="0" w:after="120" w:afterAutospacing="0" w:line="240" w:lineRule="auto"/>
        <w:ind w:left="283" w:right="0" w:firstLine="227"/>
        <w:contextualSpacing w:val="0"/>
        <w:rPr>
          <w:color w:val="000000"/>
          <w:szCs w:val="20"/>
          <w:u w:color="000000"/>
        </w:rPr>
      </w:pPr>
    </w:p>
    <w:p>
      <w:pPr>
        <w:keepNext/>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r>
        <w:rPr>
          <w:color w:val="000000"/>
          <w:szCs w:val="20"/>
        </w:rPr>
        <w:t> </w:t>
      </w:r>
    </w:p>
    <w:p>
      <w:pPr>
        <w:keepNext/>
        <w:keepLines w:val="0"/>
        <w:widowControl/>
        <w:suppressLineNumbers w:val="0"/>
        <w:shd w:val="clear" w:color="auto" w:fill="auto"/>
        <w:suppressAutoHyphens w:val="0"/>
        <w:spacing w:before="0" w:beforeAutospacing="0" w:after="0" w:afterAutospacing="0" w:line="240" w:lineRule="auto"/>
        <w:ind w:left="0" w:right="0" w:firstLine="0"/>
        <w:contextualSpacing w:val="0"/>
        <w:rPr>
          <w:color w:val="000000"/>
          <w:szCs w:val="20"/>
          <w:u w:color="000000"/>
        </w:rPr>
      </w:pPr>
    </w:p>
    <w:sectPr>
      <w:footerReference w:type="default" r:id="rId8"/>
      <w:endnotePr>
        <w:numFmt w:val="decimal"/>
      </w:endnotePr>
      <w:type w:val="nextPage"/>
      <w:pgSz w:w="11906" w:h="16838" w:code="0"/>
      <w:pgMar w:top="992" w:right="1020" w:bottom="992" w:left="102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992544FC-7A34-41B7-80DB-C45CFEB2405E.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514"/>
      <w:gridCol w:w="7257"/>
    </w:tblGrid>
    <w:tr>
      <w:tblPrEx>
        <w:tblW w:w="5000" w:type="pct"/>
      </w:tblPrEx>
      <w:tc>
        <w:tcPr>
          <w:tcW w:w="14514"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992544FC-7A34-41B7-80DB-C45CFEB2405E. Projekt</w:t>
          </w:r>
        </w:p>
      </w:tc>
      <w:tc>
        <w:tcPr>
          <w:tcW w:w="7257"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514"/>
      <w:gridCol w:w="7257"/>
    </w:tblGrid>
    <w:tr>
      <w:tblPrEx>
        <w:tblW w:w="5000" w:type="pct"/>
      </w:tblPrEx>
      <w:tc>
        <w:tcPr>
          <w:tcW w:w="14514"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992544FC-7A34-41B7-80DB-C45CFEB2405E. Projekt</w:t>
          </w:r>
        </w:p>
      </w:tc>
      <w:tc>
        <w:tcPr>
          <w:tcW w:w="7257"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577"/>
      <w:gridCol w:w="3289"/>
    </w:tblGrid>
    <w:tr>
      <w:tblPrEx>
        <w:tblW w:w="5000" w:type="pct"/>
      </w:tblPrEx>
      <w:tc>
        <w:tcPr>
          <w:tcW w:w="6577" w:type="dxa"/>
          <w:tcBorders>
            <w:top w:val="single" w:sz="4" w:space="0" w:color="auto"/>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992544FC-7A34-41B7-80DB-C45CFEB2405E. Projekt</w:t>
          </w:r>
        </w:p>
      </w:tc>
      <w:tc>
        <w:tcPr>
          <w:tcW w:w="3289" w:type="dxa"/>
          <w:tcBorders>
            <w:top w:val="single" w:sz="4" w:space="0" w:color="auto"/>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1) </w:t>
      </w:r>
      <w:r>
        <w:rPr>
          <w:rFonts w:ascii="Times New Roman" w:eastAsia="Times New Roman" w:hAnsi="Times New Roman" w:cs="Times New Roman"/>
          <w:b w:val="0"/>
          <w:caps w:val="0"/>
          <w:sz w:val="20"/>
        </w:rPr>
        <w:t>Wzór może być stosowany także w układzie pionowym, w którym poszczególne pozycje są przedstawione w kolumnach, a lata w wierszach.</w:t>
      </w:r>
    </w:p>
  </w:footnote>
  <w:footnote w:id="3">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2) </w:t>
      </w:r>
      <w:r>
        <w:rPr>
          <w:rFonts w:ascii="Times New Roman" w:eastAsia="Times New Roman" w:hAnsi="Times New Roman" w:cs="Times New Roman"/>
          <w:b w:val="0"/>
          <w:caps w:val="0"/>
          <w:sz w:val="20"/>
        </w:rPr>
        <w:t>W pozycji wykazuje się dochody o charakterze celowym, które jednostka otrzymuje od podmiotów zewnętrznych. W szczególności pozycja obejmuje dotacje celowe z budżetu państwa na zadania bieżące oraz dotacje i środki na finansowanie wydatków bieżących na realizację zadań finansowanych z udziałem środków, o których mowa w art. 5 ust. 1 pkt 2 i 3 ustawy. W pozycji nie wykazuje się natomiast dochodów związanych ze szczególnymi zasadami wykonywania budżetu jednostki wynikającymi z odrębnych ustaw, o których mowa w art. 237 ust. 1 ustawy.</w:t>
      </w:r>
    </w:p>
  </w:footnote>
  <w:footnote w:id="4">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3) </w:t>
      </w:r>
      <w:r>
        <w:rPr>
          <w:rFonts w:ascii="Times New Roman" w:eastAsia="Times New Roman" w:hAnsi="Times New Roman" w:cs="Times New Roman"/>
          <w:b w:val="0"/>
          <w:caps w:val="0"/>
          <w:sz w:val="20"/>
        </w:rPr>
        <w:t>W pozycji wykazuje się pozostałe dochody bieżące w szczególności kwoty podatków i opłat lokalnych.</w:t>
      </w:r>
    </w:p>
  </w:footnote>
  <w:footnote w:id="5">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4) </w:t>
      </w:r>
      <w:r>
        <w:rPr>
          <w:rFonts w:ascii="Times New Roman" w:eastAsia="Times New Roman" w:hAnsi="Times New Roman" w:cs="Times New Roman"/>
          <w:b w:val="0"/>
          <w:caps w:val="0"/>
          <w:sz w:val="20"/>
        </w:rPr>
        <w:t>Inne przeznaczenie nadwyżki budżetowej wymaga określenia w objaśnieniach do wieloletniej prognozy finansowej.</w:t>
      </w:r>
    </w:p>
  </w:footnote>
  <w:footnote w:id="6">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5) </w:t>
      </w:r>
      <w:r>
        <w:rPr>
          <w:rFonts w:ascii="Times New Roman" w:eastAsia="Times New Roman" w:hAnsi="Times New Roman" w:cs="Times New Roman"/>
          <w:b w:val="0"/>
          <w:caps w:val="0"/>
          <w:sz w:val="20"/>
        </w:rPr>
        <w:t>W pozycji należy ująć środki pieniężne znajdujące się na rachunku budżetu pochodzące z nadwyżek poprzednich budżetów, łącznie z niewykorzystanymi środkami, o których mowa w art. 217 ust. 2 pkt 8 ustawy.</w:t>
      </w:r>
    </w:p>
  </w:footnote>
  <w:footnote w:id="7">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6) </w:t>
      </w:r>
      <w:r>
        <w:rPr>
          <w:rFonts w:ascii="Times New Roman" w:eastAsia="Times New Roman" w:hAnsi="Times New Roman" w:cs="Times New Roman"/>
          <w:b w:val="0"/>
          <w:caps w:val="0"/>
          <w:sz w:val="20"/>
        </w:rPr>
        <w:t>W pozycji należy ująć w szczególności przychody pochodzące z prywatyzacji majątku jednostki samorządu terytorialnego.</w:t>
      </w:r>
    </w:p>
  </w:footnote>
  <w:footnote w:id="8">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7) </w:t>
      </w:r>
      <w:r>
        <w:rPr>
          <w:rFonts w:ascii="Times New Roman" w:eastAsia="Times New Roman" w:hAnsi="Times New Roman" w:cs="Times New Roman"/>
          <w:b w:val="0"/>
          <w:caps w:val="0"/>
          <w:sz w:val="20"/>
        </w:rPr>
        <w:t>Skorygowanie o środki dotyczy określonego w art. 242 ustawy powiększenia o odpowiednie dla roku prognozy przychody wskazane w art. 217 ust. 2 ustawy. Skutki finansowe wyłączeń ograniczenia, o którym mowa w art. 242 ustawy, zawarte w innych ustawach należy ująć w objaśnieniach dołączanych do wieloletniej prognozy finansowej zgodnie z art. 226 ust. 2a ustawy.</w:t>
      </w:r>
    </w:p>
  </w:footnote>
  <w:footnote w:id="9">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8) </w:t>
      </w:r>
      <w:r>
        <w:rPr>
          <w:rFonts w:ascii="Times New Roman" w:eastAsia="Times New Roman" w:hAnsi="Times New Roman" w:cs="Times New Roman"/>
          <w:b w:val="0"/>
          <w:caps w:val="0"/>
          <w:sz w:val="20"/>
        </w:rPr>
        <w:t>W pozycji należy ująć kwoty wydatków bieżących, o które zostają pomniejszone wydatki bieżące budżetu przy wyliczaniu limitu spłaty zobowiązań określonego po prawej stronie nierówności we wzorze, o którym mowa w art. 243 ustawy, na podstawie odrębnych ustaw, bez wydatków bieżących na obsługę długu.W szczególności należy ująć wydatki poniesione w celu realizacji zadań związanych z przeciwdziałaniem COVID-19.</w:t>
      </w:r>
    </w:p>
  </w:footnote>
  <w:footnote w:id="1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b w:val="0"/>
          <w:caps w:val="0"/>
        </w:rPr>
        <w:t>9) </w:t>
      </w:r>
      <w:r>
        <w:rPr>
          <w:rFonts w:ascii="Times New Roman" w:eastAsia="Times New Roman" w:hAnsi="Times New Roman" w:cs="Times New Roman"/>
          <w:b w:val="0"/>
          <w:caps w:val="0"/>
          <w:sz w:val="20"/>
        </w:rPr>
        <w:t>Zgodnie z art. 227 ustawy z dnia 27 sierpnia 2009 r. o finansach publicznych (Dz. U. z 2019 r. poz. 869, z późn. zm.), zwanej dalej „ustawą”, wieloletnia prognoza finansowa obejmuje okres roku budżetowego oraz co najmniej trzech kolejnych lat. W sytuacji dłuższego okresu prognozowania finansowego wzór stosuje się dla lat wykraczających poza minimalny (4-letni) okres prognozy wynikający z art. 227 ustawy.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footnotePr>
    <w:footnote w:id="0"/>
    <w:footnote w:id="1"/>
  </w:footnotePr>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Gminy Gręboszów</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XXI/146/2025 z dnia 30 grudnia 2025 r.</dc:title>
  <dc:subject>w sprawie Wieloletniej Prognozy Finansowej Gminy Gręboszów na lata 2026-2035</dc:subject>
  <dc:creator>marcin.janowiec</dc:creator>
  <cp:lastModifiedBy>marcin.janowiec</cp:lastModifiedBy>
  <cp:revision>1</cp:revision>
  <dcterms:created xsi:type="dcterms:W3CDTF">2025-12-30T07:43:59Z</dcterms:created>
  <dcterms:modified xsi:type="dcterms:W3CDTF">2025-12-30T07:43:59Z</dcterms:modified>
  <cp:category>Akt prawny</cp:category>
</cp:coreProperties>
</file>